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549A" w14:textId="77777777" w:rsidR="001A0C40" w:rsidRDefault="001A0C40" w:rsidP="001A0C40">
      <w:pPr>
        <w:spacing w:line="0" w:lineRule="auto"/>
        <w:rPr>
          <w:rFonts w:eastAsia="Times New Roman"/>
          <w:vanish/>
          <w:sz w:val="2"/>
          <w:szCs w:val="2"/>
        </w:rPr>
      </w:pPr>
      <w:r>
        <w:rPr>
          <w:rFonts w:eastAsia="Times New Roman"/>
          <w:vanish/>
          <w:sz w:val="2"/>
          <w:szCs w:val="2"/>
        </w:rPr>
        <w:t>Meeting Q&amp;A follow up sent on behalf of MRAM</w:t>
      </w:r>
    </w:p>
    <w:tbl>
      <w:tblPr>
        <w:tblW w:w="5000" w:type="pct"/>
        <w:jc w:val="center"/>
        <w:shd w:val="clear" w:color="auto" w:fill="D2D2D2"/>
        <w:tblCellMar>
          <w:left w:w="0" w:type="dxa"/>
          <w:right w:w="0" w:type="dxa"/>
        </w:tblCellMar>
        <w:tblLook w:val="04A0" w:firstRow="1" w:lastRow="0" w:firstColumn="1" w:lastColumn="0" w:noHBand="0" w:noVBand="1"/>
      </w:tblPr>
      <w:tblGrid>
        <w:gridCol w:w="9360"/>
      </w:tblGrid>
      <w:tr w:rsidR="001A0C40" w14:paraId="459C39EF" w14:textId="77777777" w:rsidTr="001A0C40">
        <w:trPr>
          <w:jc w:val="center"/>
        </w:trPr>
        <w:tc>
          <w:tcPr>
            <w:tcW w:w="0" w:type="auto"/>
            <w:shd w:val="clear" w:color="auto" w:fill="D2D2D2"/>
            <w:vAlign w:val="center"/>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31"/>
            </w:tblGrid>
            <w:tr w:rsidR="001A0C40" w14:paraId="6116B93E" w14:textId="77777777">
              <w:trPr>
                <w:jc w:val="center"/>
              </w:trPr>
              <w:tc>
                <w:tcPr>
                  <w:tcW w:w="0" w:type="auto"/>
                  <w:tcBorders>
                    <w:top w:val="single" w:sz="6" w:space="0" w:color="D2D2D2"/>
                    <w:left w:val="single" w:sz="6" w:space="0" w:color="D2D2D2"/>
                    <w:bottom w:val="single" w:sz="6" w:space="0" w:color="D2D2D2"/>
                    <w:right w:val="single" w:sz="6" w:space="0" w:color="D2D2D2"/>
                  </w:tcBorders>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00"/>
                  </w:tblGrid>
                  <w:tr w:rsidR="001A0C40" w14:paraId="0DB8B7C3" w14:textId="77777777">
                    <w:trPr>
                      <w:jc w:val="center"/>
                    </w:trPr>
                    <w:tc>
                      <w:tcPr>
                        <w:tcW w:w="0" w:type="auto"/>
                        <w:tcBorders>
                          <w:top w:val="single" w:sz="6" w:space="0" w:color="D2D2D2"/>
                          <w:left w:val="single" w:sz="6" w:space="0" w:color="D2D2D2"/>
                          <w:bottom w:val="single" w:sz="6" w:space="0" w:color="D2D2D2"/>
                          <w:right w:val="single" w:sz="6" w:space="0" w:color="D2D2D2"/>
                        </w:tcBorders>
                        <w:vAlign w:val="center"/>
                        <w:hideMark/>
                      </w:tcPr>
                      <w:tbl>
                        <w:tblPr>
                          <w:tblW w:w="5000" w:type="pct"/>
                          <w:jc w:val="center"/>
                          <w:tblCellMar>
                            <w:left w:w="0" w:type="dxa"/>
                            <w:right w:w="0" w:type="dxa"/>
                          </w:tblCellMar>
                          <w:tblLook w:val="04A0" w:firstRow="1" w:lastRow="0" w:firstColumn="1" w:lastColumn="0" w:noHBand="0" w:noVBand="1"/>
                        </w:tblPr>
                        <w:tblGrid>
                          <w:gridCol w:w="8985"/>
                        </w:tblGrid>
                        <w:tr w:rsidR="001A0C40" w14:paraId="790D9BF3" w14:textId="77777777">
                          <w:trPr>
                            <w:jc w:val="center"/>
                          </w:trPr>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8955"/>
                              </w:tblGrid>
                              <w:tr w:rsidR="001A0C40" w14:paraId="2C0A932A" w14:textId="77777777">
                                <w:tc>
                                  <w:tcPr>
                                    <w:tcW w:w="0" w:type="auto"/>
                                    <w:hideMark/>
                                  </w:tcPr>
                                  <w:tbl>
                                    <w:tblPr>
                                      <w:tblW w:w="5000" w:type="pct"/>
                                      <w:tblCellMar>
                                        <w:left w:w="0" w:type="dxa"/>
                                        <w:right w:w="0" w:type="dxa"/>
                                      </w:tblCellMar>
                                      <w:tblLook w:val="04A0" w:firstRow="1" w:lastRow="0" w:firstColumn="1" w:lastColumn="0" w:noHBand="0" w:noVBand="1"/>
                                    </w:tblPr>
                                    <w:tblGrid>
                                      <w:gridCol w:w="8955"/>
                                    </w:tblGrid>
                                    <w:tr w:rsidR="001A0C40" w14:paraId="3B929813" w14:textId="77777777">
                                      <w:tc>
                                        <w:tcPr>
                                          <w:tcW w:w="0" w:type="auto"/>
                                          <w:shd w:val="clear" w:color="auto" w:fill="4B2E83"/>
                                          <w:tcMar>
                                            <w:top w:w="180" w:type="dxa"/>
                                            <w:left w:w="0" w:type="dxa"/>
                                            <w:bottom w:w="180" w:type="dxa"/>
                                            <w:right w:w="0" w:type="dxa"/>
                                          </w:tcMar>
                                          <w:hideMark/>
                                        </w:tcPr>
                                        <w:p w14:paraId="569F627F" w14:textId="424AB223" w:rsidR="001A0C40" w:rsidRDefault="001A0C40">
                                          <w:pPr>
                                            <w:rPr>
                                              <w:rFonts w:eastAsia="Times New Roman"/>
                                            </w:rPr>
                                          </w:pPr>
                                          <w:r>
                                            <w:rPr>
                                              <w:rFonts w:eastAsia="Times New Roman"/>
                                              <w:noProof/>
                                              <w:color w:val="00619E"/>
                                            </w:rPr>
                                            <w:drawing>
                                              <wp:inline distT="0" distB="0" distL="0" distR="0" wp14:anchorId="0621F6DA" wp14:editId="5C30416C">
                                                <wp:extent cx="2444750" cy="361950"/>
                                                <wp:effectExtent l="0" t="0" r="0" b="0"/>
                                                <wp:docPr id="211605861" name="Picture 3" descr="University of Wash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361950"/>
                                                        </a:xfrm>
                                                        <a:prstGeom prst="rect">
                                                          <a:avLst/>
                                                        </a:prstGeom>
                                                        <a:noFill/>
                                                        <a:ln>
                                                          <a:noFill/>
                                                        </a:ln>
                                                      </pic:spPr>
                                                    </pic:pic>
                                                  </a:graphicData>
                                                </a:graphic>
                                              </wp:inline>
                                            </w:drawing>
                                          </w:r>
                                        </w:p>
                                      </w:tc>
                                    </w:tr>
                                  </w:tbl>
                                  <w:p w14:paraId="01E0E700" w14:textId="77777777" w:rsidR="001A0C40" w:rsidRDefault="001A0C40">
                                    <w:pPr>
                                      <w:rPr>
                                        <w:rFonts w:ascii="Times New Roman" w:eastAsia="Times New Roman" w:hAnsi="Times New Roman" w:cs="Times New Roman"/>
                                        <w:sz w:val="20"/>
                                        <w:szCs w:val="20"/>
                                      </w:rPr>
                                    </w:pPr>
                                  </w:p>
                                </w:tc>
                              </w:tr>
                            </w:tbl>
                            <w:p w14:paraId="2CBC7386"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662ECDA9" w14:textId="77777777">
                                <w:tc>
                                  <w:tcPr>
                                    <w:tcW w:w="0" w:type="auto"/>
                                    <w:shd w:val="clear" w:color="auto" w:fill="FFFFFF"/>
                                    <w:tcMar>
                                      <w:top w:w="180" w:type="dxa"/>
                                      <w:left w:w="225" w:type="dxa"/>
                                      <w:bottom w:w="180" w:type="dxa"/>
                                      <w:right w:w="225" w:type="dxa"/>
                                    </w:tcMar>
                                    <w:vAlign w:val="center"/>
                                    <w:hideMark/>
                                  </w:tcPr>
                                  <w:p w14:paraId="54A8AE2D" w14:textId="77777777" w:rsidR="001A0C40" w:rsidRDefault="001A0C40">
                                    <w:pPr>
                                      <w:jc w:val="right"/>
                                      <w:rPr>
                                        <w:rFonts w:ascii="Open Sans" w:eastAsia="Times New Roman" w:hAnsi="Open Sans" w:cs="Open Sans"/>
                                        <w:b/>
                                        <w:bCs/>
                                        <w:caps/>
                                        <w:color w:val="4B2E83"/>
                                        <w:sz w:val="21"/>
                                        <w:szCs w:val="21"/>
                                      </w:rPr>
                                    </w:pPr>
                                    <w:r>
                                      <w:rPr>
                                        <w:rFonts w:ascii="Open Sans" w:eastAsia="Times New Roman" w:hAnsi="Open Sans" w:cs="Open Sans"/>
                                        <w:b/>
                                        <w:bCs/>
                                        <w:caps/>
                                        <w:color w:val="4B2E83"/>
                                        <w:sz w:val="21"/>
                                        <w:szCs w:val="21"/>
                                      </w:rPr>
                                      <w:t xml:space="preserve">MRAM </w:t>
                                    </w:r>
                                  </w:p>
                                </w:tc>
                              </w:tr>
                            </w:tbl>
                            <w:p w14:paraId="2C94BA04" w14:textId="77777777" w:rsidR="001A0C40" w:rsidRDefault="001A0C40">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A0C40" w14:paraId="00A6911F" w14:textId="77777777">
                                <w:trPr>
                                  <w:trHeight w:val="30"/>
                                </w:trPr>
                                <w:tc>
                                  <w:tcPr>
                                    <w:tcW w:w="0" w:type="auto"/>
                                    <w:shd w:val="clear" w:color="auto" w:fill="A7A9AB"/>
                                    <w:vAlign w:val="center"/>
                                    <w:hideMark/>
                                  </w:tcPr>
                                  <w:p w14:paraId="60B0FB53" w14:textId="77777777" w:rsidR="001A0C40" w:rsidRDefault="001A0C40">
                                    <w:pPr>
                                      <w:spacing w:line="45" w:lineRule="exact"/>
                                      <w:rPr>
                                        <w:rFonts w:eastAsia="Times New Roman"/>
                                        <w:sz w:val="5"/>
                                        <w:szCs w:val="5"/>
                                      </w:rPr>
                                    </w:pPr>
                                    <w:r>
                                      <w:rPr>
                                        <w:rFonts w:eastAsia="Times New Roman"/>
                                        <w:sz w:val="5"/>
                                        <w:szCs w:val="5"/>
                                      </w:rPr>
                                      <w:t> </w:t>
                                    </w:r>
                                  </w:p>
                                </w:tc>
                              </w:tr>
                            </w:tbl>
                            <w:p w14:paraId="111A104E"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2F4AF55B" w14:textId="77777777">
                                <w:tc>
                                  <w:tcPr>
                                    <w:tcW w:w="0" w:type="auto"/>
                                    <w:shd w:val="clear" w:color="auto" w:fill="6F7376"/>
                                    <w:tcMar>
                                      <w:top w:w="360" w:type="dxa"/>
                                      <w:left w:w="225" w:type="dxa"/>
                                      <w:bottom w:w="360" w:type="dxa"/>
                                      <w:right w:w="225" w:type="dxa"/>
                                    </w:tcMar>
                                    <w:vAlign w:val="center"/>
                                    <w:hideMark/>
                                  </w:tcPr>
                                  <w:p w14:paraId="2FF04319" w14:textId="77777777" w:rsidR="001A0C40" w:rsidRDefault="001A0C40">
                                    <w:pPr>
                                      <w:jc w:val="center"/>
                                      <w:rPr>
                                        <w:rFonts w:ascii="Open Sans" w:eastAsia="Times New Roman" w:hAnsi="Open Sans" w:cs="Open Sans"/>
                                        <w:color w:val="FFFFFF"/>
                                        <w:sz w:val="36"/>
                                        <w:szCs w:val="36"/>
                                      </w:rPr>
                                    </w:pPr>
                                    <w:r>
                                      <w:rPr>
                                        <w:rFonts w:ascii="Open Sans" w:eastAsia="Times New Roman" w:hAnsi="Open Sans" w:cs="Open Sans"/>
                                        <w:color w:val="FFFFFF"/>
                                        <w:sz w:val="36"/>
                                        <w:szCs w:val="36"/>
                                      </w:rPr>
                                      <w:t xml:space="preserve">12/14 MRAM Q&amp;A </w:t>
                                    </w:r>
                                  </w:p>
                                </w:tc>
                              </w:tr>
                            </w:tbl>
                            <w:p w14:paraId="69B36907"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1BBFBD15" w14:textId="77777777">
                                <w:tc>
                                  <w:tcPr>
                                    <w:tcW w:w="0" w:type="auto"/>
                                    <w:shd w:val="clear" w:color="auto" w:fill="FFFFFF"/>
                                    <w:tcMar>
                                      <w:top w:w="75" w:type="dxa"/>
                                      <w:left w:w="225" w:type="dxa"/>
                                      <w:bottom w:w="75" w:type="dxa"/>
                                      <w:right w:w="225" w:type="dxa"/>
                                    </w:tcMar>
                                    <w:hideMark/>
                                  </w:tcPr>
                                  <w:p w14:paraId="22D1263F" w14:textId="77777777" w:rsidR="001A0C40" w:rsidRDefault="001A0C40">
                                    <w:pPr>
                                      <w:pStyle w:val="NormalWeb"/>
                                      <w:spacing w:line="330" w:lineRule="exact"/>
                                      <w:rPr>
                                        <w:rFonts w:ascii="Open Sans" w:hAnsi="Open Sans" w:cs="Open Sans"/>
                                        <w:color w:val="3D3D3D"/>
                                      </w:rPr>
                                    </w:pPr>
                                    <w:r>
                                      <w:rPr>
                                        <w:rStyle w:val="Strong"/>
                                        <w:rFonts w:ascii="Open Sans" w:hAnsi="Open Sans" w:cs="Open Sans"/>
                                        <w:color w:val="3D3D3D"/>
                                      </w:rPr>
                                      <w:t>Greetings Colleagues, </w:t>
                                    </w:r>
                                    <w:r>
                                      <w:rPr>
                                        <w:rFonts w:ascii="Open Sans" w:hAnsi="Open Sans" w:cs="Open Sans"/>
                                        <w:b/>
                                        <w:bCs/>
                                        <w:color w:val="3D3D3D"/>
                                      </w:rPr>
                                      <w:br/>
                                    </w:r>
                                    <w:r>
                                      <w:rPr>
                                        <w:rFonts w:ascii="Open Sans" w:hAnsi="Open Sans" w:cs="Open Sans"/>
                                        <w:b/>
                                        <w:bCs/>
                                        <w:color w:val="3D3D3D"/>
                                      </w:rPr>
                                      <w:br/>
                                    </w:r>
                                    <w:r>
                                      <w:rPr>
                                        <w:rFonts w:ascii="Open Sans" w:hAnsi="Open Sans" w:cs="Open Sans"/>
                                        <w:color w:val="3D3D3D"/>
                                      </w:rPr>
                                      <w:t xml:space="preserve">The </w:t>
                                    </w:r>
                                    <w:hyperlink r:id="rId7" w:tgtFrame="_blank" w:history="1">
                                      <w:r>
                                        <w:rPr>
                                          <w:rStyle w:val="Hyperlink"/>
                                          <w:rFonts w:ascii="Open Sans" w:hAnsi="Open Sans" w:cs="Open Sans"/>
                                        </w:rPr>
                                        <w:t>12/14 MRAM materials</w:t>
                                      </w:r>
                                    </w:hyperlink>
                                    <w:r>
                                      <w:rPr>
                                        <w:rFonts w:ascii="Open Sans" w:hAnsi="Open Sans" w:cs="Open Sans"/>
                                        <w:color w:val="3D3D3D"/>
                                      </w:rPr>
                                      <w:t> are published for your review along with a list of links shared during the session. Q&amp;A from our session are included here for reference and will be available with the other meeting materials shortly. </w:t>
                                    </w:r>
                                    <w:r>
                                      <w:rPr>
                                        <w:rFonts w:ascii="Open Sans" w:hAnsi="Open Sans" w:cs="Open Sans"/>
                                        <w:color w:val="3D3D3D"/>
                                      </w:rPr>
                                      <w:br/>
                                    </w:r>
                                    <w:r>
                                      <w:rPr>
                                        <w:rFonts w:ascii="Open Sans" w:hAnsi="Open Sans" w:cs="Open Sans"/>
                                        <w:color w:val="3D3D3D"/>
                                      </w:rPr>
                                      <w:br/>
                                      <w:t>Within a week or so following every MRAM, an email like this one typically goes out with Q&amp;A from the session and a link to the meeting materials.  </w:t>
                                    </w:r>
                                    <w:r>
                                      <w:rPr>
                                        <w:rFonts w:ascii="Open Sans" w:hAnsi="Open Sans" w:cs="Open Sans"/>
                                        <w:color w:val="3D3D3D"/>
                                      </w:rPr>
                                      <w:br/>
                                    </w:r>
                                    <w:r>
                                      <w:rPr>
                                        <w:rFonts w:ascii="Open Sans" w:hAnsi="Open Sans" w:cs="Open Sans"/>
                                        <w:b/>
                                        <w:bCs/>
                                        <w:color w:val="3D3D3D"/>
                                      </w:rPr>
                                      <w:br/>
                                    </w:r>
                                    <w:r>
                                      <w:rPr>
                                        <w:rStyle w:val="Strong"/>
                                        <w:rFonts w:ascii="Open Sans" w:hAnsi="Open Sans" w:cs="Open Sans"/>
                                        <w:color w:val="3D3D3D"/>
                                      </w:rPr>
                                      <w:t>Jump to section on: </w:t>
                                    </w:r>
                                  </w:p>
                                  <w:p w14:paraId="4CB501DF" w14:textId="77777777" w:rsidR="001A0C40" w:rsidRDefault="001A0C40" w:rsidP="00BC6B57">
                                    <w:pPr>
                                      <w:numPr>
                                        <w:ilvl w:val="0"/>
                                        <w:numId w:val="1"/>
                                      </w:numPr>
                                      <w:shd w:val="clear" w:color="auto" w:fill="FFFFFF"/>
                                      <w:spacing w:before="100" w:beforeAutospacing="1" w:after="100" w:afterAutospacing="1" w:line="330" w:lineRule="exact"/>
                                      <w:ind w:hanging="240"/>
                                      <w:rPr>
                                        <w:rFonts w:ascii="Open Sans" w:eastAsia="Times New Roman" w:hAnsi="Open Sans" w:cs="Open Sans"/>
                                        <w:color w:val="3D3D3D"/>
                                        <w:sz w:val="21"/>
                                        <w:szCs w:val="21"/>
                                      </w:rPr>
                                    </w:pPr>
                                    <w:hyperlink w:anchor="a1" w:tgtFrame="_blank" w:history="1">
                                      <w:r>
                                        <w:rPr>
                                          <w:rStyle w:val="Hyperlink"/>
                                          <w:rFonts w:ascii="Open Sans" w:eastAsia="Times New Roman" w:hAnsi="Open Sans" w:cs="Open Sans"/>
                                          <w:sz w:val="21"/>
                                          <w:szCs w:val="21"/>
                                        </w:rPr>
                                        <w:t>PAFC: Hot Topic - Salary Over the Cap</w:t>
                                      </w:r>
                                    </w:hyperlink>
                                  </w:p>
                                  <w:p w14:paraId="5715B0AF" w14:textId="77777777" w:rsidR="001A0C40" w:rsidRDefault="001A0C40" w:rsidP="00BC6B57">
                                    <w:pPr>
                                      <w:numPr>
                                        <w:ilvl w:val="0"/>
                                        <w:numId w:val="1"/>
                                      </w:numPr>
                                      <w:shd w:val="clear" w:color="auto" w:fill="FFFFFF"/>
                                      <w:spacing w:before="100" w:beforeAutospacing="1" w:after="100" w:afterAutospacing="1" w:line="330" w:lineRule="exact"/>
                                      <w:ind w:hanging="240"/>
                                      <w:rPr>
                                        <w:rFonts w:ascii="Open Sans" w:eastAsia="Times New Roman" w:hAnsi="Open Sans" w:cs="Open Sans"/>
                                        <w:color w:val="3D3D3D"/>
                                        <w:sz w:val="21"/>
                                        <w:szCs w:val="21"/>
                                      </w:rPr>
                                    </w:pPr>
                                    <w:hyperlink w:anchor="a2" w:tgtFrame="_blank" w:history="1">
                                      <w:r>
                                        <w:rPr>
                                          <w:rStyle w:val="Hyperlink"/>
                                          <w:rFonts w:ascii="Open Sans" w:eastAsia="Times New Roman" w:hAnsi="Open Sans" w:cs="Open Sans"/>
                                          <w:sz w:val="21"/>
                                          <w:szCs w:val="21"/>
                                        </w:rPr>
                                        <w:t xml:space="preserve">Changing Grant </w:t>
                                      </w:r>
                                      <w:proofErr w:type="spellStart"/>
                                      <w:r>
                                        <w:rPr>
                                          <w:rStyle w:val="Hyperlink"/>
                                          <w:rFonts w:ascii="Open Sans" w:eastAsia="Times New Roman" w:hAnsi="Open Sans" w:cs="Open Sans"/>
                                          <w:sz w:val="21"/>
                                          <w:szCs w:val="21"/>
                                        </w:rPr>
                                        <w:t>Worktags</w:t>
                                      </w:r>
                                      <w:proofErr w:type="spellEnd"/>
                                      <w:r>
                                        <w:rPr>
                                          <w:rStyle w:val="Hyperlink"/>
                                          <w:rFonts w:ascii="Open Sans" w:eastAsia="Times New Roman" w:hAnsi="Open Sans" w:cs="Open Sans"/>
                                          <w:sz w:val="21"/>
                                          <w:szCs w:val="21"/>
                                        </w:rPr>
                                        <w:t xml:space="preserve"> on Purchase Orders</w:t>
                                      </w:r>
                                    </w:hyperlink>
                                  </w:p>
                                  <w:p w14:paraId="76282042" w14:textId="77777777" w:rsidR="001A0C40" w:rsidRDefault="001A0C40" w:rsidP="00BC6B57">
                                    <w:pPr>
                                      <w:numPr>
                                        <w:ilvl w:val="0"/>
                                        <w:numId w:val="1"/>
                                      </w:numPr>
                                      <w:shd w:val="clear" w:color="auto" w:fill="FFFFFF"/>
                                      <w:spacing w:before="100" w:beforeAutospacing="1" w:after="100" w:afterAutospacing="1" w:line="330" w:lineRule="exact"/>
                                      <w:ind w:hanging="240"/>
                                      <w:rPr>
                                        <w:rFonts w:ascii="Open Sans" w:eastAsia="Times New Roman" w:hAnsi="Open Sans" w:cs="Open Sans"/>
                                        <w:color w:val="3D3D3D"/>
                                        <w:sz w:val="21"/>
                                        <w:szCs w:val="21"/>
                                      </w:rPr>
                                    </w:pPr>
                                    <w:hyperlink w:anchor="a3" w:tgtFrame="_blank" w:history="1">
                                      <w:r>
                                        <w:rPr>
                                          <w:rStyle w:val="Hyperlink"/>
                                          <w:rFonts w:ascii="Open Sans" w:eastAsia="Times New Roman" w:hAnsi="Open Sans" w:cs="Open Sans"/>
                                          <w:sz w:val="21"/>
                                          <w:szCs w:val="21"/>
                                        </w:rPr>
                                        <w:t>GCA Update</w:t>
                                      </w:r>
                                    </w:hyperlink>
                                  </w:p>
                                  <w:p w14:paraId="7C6A7963" w14:textId="77777777" w:rsidR="001A0C40" w:rsidRDefault="001A0C40" w:rsidP="00BC6B57">
                                    <w:pPr>
                                      <w:numPr>
                                        <w:ilvl w:val="0"/>
                                        <w:numId w:val="1"/>
                                      </w:numPr>
                                      <w:shd w:val="clear" w:color="auto" w:fill="FFFFFF"/>
                                      <w:spacing w:before="100" w:beforeAutospacing="1" w:after="100" w:afterAutospacing="1" w:line="330" w:lineRule="exact"/>
                                      <w:ind w:hanging="240"/>
                                      <w:rPr>
                                        <w:rFonts w:ascii="Open Sans" w:eastAsia="Times New Roman" w:hAnsi="Open Sans" w:cs="Open Sans"/>
                                        <w:color w:val="3D3D3D"/>
                                        <w:sz w:val="21"/>
                                        <w:szCs w:val="21"/>
                                      </w:rPr>
                                    </w:pPr>
                                    <w:hyperlink w:anchor="a4" w:tgtFrame="_blank" w:history="1">
                                      <w:r>
                                        <w:rPr>
                                          <w:rStyle w:val="Hyperlink"/>
                                          <w:rFonts w:ascii="Open Sans" w:eastAsia="Times New Roman" w:hAnsi="Open Sans" w:cs="Open Sans"/>
                                          <w:sz w:val="21"/>
                                          <w:szCs w:val="21"/>
                                        </w:rPr>
                                        <w:t>SAGE Search Tips &amp; Upcoming Release</w:t>
                                      </w:r>
                                    </w:hyperlink>
                                  </w:p>
                                </w:tc>
                              </w:tr>
                            </w:tbl>
                            <w:p w14:paraId="25C59AAF" w14:textId="77777777" w:rsidR="001A0C40" w:rsidRDefault="001A0C40">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A0C40" w14:paraId="32524F36" w14:textId="77777777">
                                <w:trPr>
                                  <w:trHeight w:val="30"/>
                                </w:trPr>
                                <w:tc>
                                  <w:tcPr>
                                    <w:tcW w:w="0" w:type="auto"/>
                                    <w:shd w:val="clear" w:color="auto" w:fill="A7A9AB"/>
                                    <w:vAlign w:val="center"/>
                                    <w:hideMark/>
                                  </w:tcPr>
                                  <w:p w14:paraId="28CBED10" w14:textId="77777777" w:rsidR="001A0C40" w:rsidRDefault="001A0C40">
                                    <w:pPr>
                                      <w:spacing w:line="45" w:lineRule="exact"/>
                                      <w:rPr>
                                        <w:rFonts w:eastAsia="Times New Roman"/>
                                        <w:sz w:val="5"/>
                                        <w:szCs w:val="5"/>
                                      </w:rPr>
                                    </w:pPr>
                                    <w:r>
                                      <w:rPr>
                                        <w:rFonts w:eastAsia="Times New Roman"/>
                                        <w:sz w:val="5"/>
                                        <w:szCs w:val="5"/>
                                      </w:rPr>
                                      <w:t> </w:t>
                                    </w:r>
                                  </w:p>
                                </w:tc>
                              </w:tr>
                            </w:tbl>
                            <w:p w14:paraId="1AB5A0A3"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6D20F550" w14:textId="77777777">
                                <w:tc>
                                  <w:tcPr>
                                    <w:tcW w:w="0" w:type="auto"/>
                                    <w:shd w:val="clear" w:color="auto" w:fill="FFFFFF"/>
                                    <w:tcMar>
                                      <w:top w:w="300" w:type="dxa"/>
                                      <w:left w:w="225" w:type="dxa"/>
                                      <w:bottom w:w="75" w:type="dxa"/>
                                      <w:right w:w="225" w:type="dxa"/>
                                    </w:tcMar>
                                    <w:vAlign w:val="center"/>
                                    <w:hideMark/>
                                  </w:tcPr>
                                  <w:p w14:paraId="44E054C5" w14:textId="77777777" w:rsidR="001A0C40" w:rsidRDefault="001A0C40">
                                    <w:pPr>
                                      <w:pStyle w:val="Heading2"/>
                                      <w:spacing w:line="330" w:lineRule="exact"/>
                                      <w:rPr>
                                        <w:rFonts w:ascii="Open Sans" w:eastAsia="Times New Roman" w:hAnsi="Open Sans" w:cs="Open Sans"/>
                                        <w:b/>
                                        <w:bCs/>
                                        <w:color w:val="4B2E84"/>
                                        <w:sz w:val="30"/>
                                        <w:szCs w:val="30"/>
                                      </w:rPr>
                                    </w:pPr>
                                    <w:bookmarkStart w:id="0" w:name="a1"/>
                                    <w:bookmarkEnd w:id="0"/>
                                    <w:r>
                                      <w:rPr>
                                        <w:rFonts w:ascii="Open Sans" w:eastAsia="Times New Roman" w:hAnsi="Open Sans" w:cs="Open Sans"/>
                                        <w:b/>
                                        <w:bCs/>
                                        <w:color w:val="4B2E84"/>
                                        <w:sz w:val="30"/>
                                        <w:szCs w:val="30"/>
                                      </w:rPr>
                                      <w:t>PAFC: Hot Topic - Salary Over the Cap</w:t>
                                    </w:r>
                                  </w:p>
                                </w:tc>
                              </w:tr>
                            </w:tbl>
                            <w:p w14:paraId="246FDF8C"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0C74ACF7" w14:textId="77777777">
                                <w:tc>
                                  <w:tcPr>
                                    <w:tcW w:w="0" w:type="auto"/>
                                    <w:shd w:val="clear" w:color="auto" w:fill="FFFFFF"/>
                                    <w:tcMar>
                                      <w:top w:w="75" w:type="dxa"/>
                                      <w:left w:w="225" w:type="dxa"/>
                                      <w:bottom w:w="75" w:type="dxa"/>
                                      <w:right w:w="225" w:type="dxa"/>
                                    </w:tcMar>
                                    <w:hideMark/>
                                  </w:tcPr>
                                  <w:p w14:paraId="72DFBD79" w14:textId="77777777" w:rsidR="001A0C40" w:rsidRDefault="001A0C40">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Please contact </w:t>
                                    </w:r>
                                    <w:hyperlink r:id="rId8" w:tgtFrame="_blank" w:history="1">
                                      <w:r>
                                        <w:rPr>
                                          <w:rStyle w:val="Hyperlink"/>
                                          <w:rFonts w:ascii="Open Sans" w:eastAsia="Times New Roman" w:hAnsi="Open Sans" w:cs="Open Sans"/>
                                          <w:sz w:val="21"/>
                                          <w:szCs w:val="21"/>
                                        </w:rPr>
                                        <w:t>effortreporting@uw.edu</w:t>
                                      </w:r>
                                    </w:hyperlink>
                                    <w:r>
                                      <w:rPr>
                                        <w:rFonts w:ascii="Open Sans" w:eastAsia="Times New Roman" w:hAnsi="Open Sans" w:cs="Open Sans"/>
                                        <w:color w:val="3D3D3D"/>
                                        <w:sz w:val="21"/>
                                        <w:szCs w:val="21"/>
                                      </w:rPr>
                                      <w:t xml:space="preserve"> if you have a specific salary cap instance that you wish to discuss. </w:t>
                                    </w:r>
                                  </w:p>
                                </w:tc>
                              </w:tr>
                            </w:tbl>
                            <w:p w14:paraId="731C49AF"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00D5F9D7" w14:textId="77777777">
                                <w:tc>
                                  <w:tcPr>
                                    <w:tcW w:w="0" w:type="auto"/>
                                    <w:shd w:val="clear" w:color="auto" w:fill="FFFFFF"/>
                                    <w:tcMar>
                                      <w:top w:w="75" w:type="dxa"/>
                                      <w:left w:w="225" w:type="dxa"/>
                                      <w:bottom w:w="75" w:type="dxa"/>
                                      <w:right w:w="225" w:type="dxa"/>
                                    </w:tcMar>
                                    <w:hideMark/>
                                  </w:tcPr>
                                  <w:p w14:paraId="1F43A321"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Has the SOC calculator been updated? In </w:t>
                                    </w:r>
                                    <w:proofErr w:type="gramStart"/>
                                    <w:r>
                                      <w:rPr>
                                        <w:rFonts w:ascii="Open Sans" w:eastAsia="Times New Roman" w:hAnsi="Open Sans" w:cs="Open Sans"/>
                                        <w:color w:val="3D3D3D"/>
                                        <w:sz w:val="21"/>
                                        <w:szCs w:val="21"/>
                                      </w:rPr>
                                      <w:t>prior</w:t>
                                    </w:r>
                                    <w:proofErr w:type="gramEnd"/>
                                    <w:r>
                                      <w:rPr>
                                        <w:rFonts w:ascii="Open Sans" w:eastAsia="Times New Roman" w:hAnsi="Open Sans" w:cs="Open Sans"/>
                                        <w:color w:val="3D3D3D"/>
                                        <w:sz w:val="21"/>
                                        <w:szCs w:val="21"/>
                                      </w:rPr>
                                      <w:t xml:space="preserve"> version from September, it was telling us to input more than a total of 100% FTE into Workday, which is clearly an error.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The current calculator will work when the percentage of effort on the sponsored awards is equal to or less than the proportion of REG pay to IBS. When the level of effort is greater than the proportion of REG pay to IBS, then the calculator will display greater than 100% FTE, hence it will not work for the allocations. As mentioned at MRAM, the current calculator assumes ADS is not being charged to the Award. There is not yet a resource that provides an overview of charging an ADS to sponsored awards </w:t>
                                    </w:r>
                                    <w:r>
                                      <w:rPr>
                                        <w:rFonts w:ascii="Open Sans" w:eastAsia="Times New Roman" w:hAnsi="Open Sans" w:cs="Open Sans"/>
                                        <w:color w:val="3D3D3D"/>
                                        <w:sz w:val="21"/>
                                        <w:szCs w:val="21"/>
                                      </w:rPr>
                                      <w:lastRenderedPageBreak/>
                                      <w:t xml:space="preserve">in these situations.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What if ADS is paid by hospital for clinical duties, for example? Should hospital ADS be excluded from IBS?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At the UW, ADS and Clinical pay are considered part of the Institutional Base Salary, all of which must be represented </w:t>
                                    </w:r>
                                    <w:proofErr w:type="gramStart"/>
                                    <w:r>
                                      <w:rPr>
                                        <w:rFonts w:ascii="Open Sans" w:eastAsia="Times New Roman" w:hAnsi="Open Sans" w:cs="Open Sans"/>
                                        <w:color w:val="3D3D3D"/>
                                        <w:sz w:val="21"/>
                                        <w:szCs w:val="21"/>
                                      </w:rPr>
                                      <w:t>on</w:t>
                                    </w:r>
                                    <w:proofErr w:type="gramEnd"/>
                                    <w:r>
                                      <w:rPr>
                                        <w:rFonts w:ascii="Open Sans" w:eastAsia="Times New Roman" w:hAnsi="Open Sans" w:cs="Open Sans"/>
                                        <w:color w:val="3D3D3D"/>
                                        <w:sz w:val="21"/>
                                        <w:szCs w:val="21"/>
                                      </w:rPr>
                                      <w:t xml:space="preserve"> the Effort Report in ECC.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Is there a place we can go to find out how to adjust for ADS when faculty are not over the cap? I assume we need to adjust costing allocations when faculty have ADS because, oftentimes, that ADS is paid 100% by the school.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You can use the standard REG, ADS, Clinical calculator. If the faculty's IBS is under the cap, the calculator will still determine the payroll allocation required to ensure the correct effort commitment. </w:t>
                                    </w:r>
                                    <w:hyperlink r:id="rId9" w:history="1">
                                      <w:r>
                                        <w:rPr>
                                          <w:rStyle w:val="Hyperlink"/>
                                          <w:rFonts w:ascii="Open Sans" w:eastAsia="Times New Roman" w:hAnsi="Open Sans" w:cs="Open Sans"/>
                                          <w:sz w:val="21"/>
                                          <w:szCs w:val="21"/>
                                        </w:rPr>
                                        <w:t>https://finance.uw.edu/pafc/calculatorstools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I'm confused. I was under the assumption that we no longer needed the calculator as we were to enter the effort attributable to the work on the grant and Workday would automatically adjust between the grant and SOC.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If a faculty has only REG pay as part of their IBS, then a calculator is NOT </w:t>
                                    </w:r>
                                    <w:proofErr w:type="gramStart"/>
                                    <w:r>
                                      <w:rPr>
                                        <w:rFonts w:ascii="Open Sans" w:eastAsia="Times New Roman" w:hAnsi="Open Sans" w:cs="Open Sans"/>
                                        <w:color w:val="3D3D3D"/>
                                        <w:sz w:val="21"/>
                                        <w:szCs w:val="21"/>
                                      </w:rPr>
                                      <w:t>needed</w:t>
                                    </w:r>
                                    <w:proofErr w:type="gramEnd"/>
                                    <w:r>
                                      <w:rPr>
                                        <w:rFonts w:ascii="Open Sans" w:eastAsia="Times New Roman" w:hAnsi="Open Sans" w:cs="Open Sans"/>
                                        <w:color w:val="3D3D3D"/>
                                        <w:sz w:val="21"/>
                                        <w:szCs w:val="21"/>
                                      </w:rPr>
                                      <w:t xml:space="preserve"> and the committed effort percentage is entered into Workday. If the faculty has clinical, ADS, or ENS pay components, then an adjustment must be made in the Workday payroll allocation to ensure the correct level of effort is charged to sponsored awards. </w:t>
                                    </w:r>
                                  </w:p>
                                </w:tc>
                              </w:tr>
                            </w:tbl>
                            <w:p w14:paraId="2BDE6035"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45875CE9" w14:textId="77777777">
                                <w:tc>
                                  <w:tcPr>
                                    <w:tcW w:w="0" w:type="auto"/>
                                    <w:shd w:val="clear" w:color="auto" w:fill="FFFFFF"/>
                                    <w:tcMar>
                                      <w:top w:w="75" w:type="dxa"/>
                                      <w:left w:w="225" w:type="dxa"/>
                                      <w:bottom w:w="75" w:type="dxa"/>
                                      <w:right w:w="225" w:type="dxa"/>
                                    </w:tcMar>
                                    <w:hideMark/>
                                  </w:tcPr>
                                  <w:p w14:paraId="0D1DA674"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What if an ADS is specifically for a grant?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There would need to be a costing allocation of the ADS to the specific grant. Workday will perform the salary cap calculation for the ADS if the faculty member's IBS exceeds the salary cap limitation.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w:t>
                                    </w:r>
                                    <w:proofErr w:type="gramStart"/>
                                    <w:r>
                                      <w:rPr>
                                        <w:rStyle w:val="Strong"/>
                                        <w:rFonts w:ascii="Open Sans" w:eastAsia="Times New Roman" w:hAnsi="Open Sans" w:cs="Open Sans"/>
                                        <w:color w:val="3D3D3D"/>
                                        <w:sz w:val="21"/>
                                        <w:szCs w:val="21"/>
                                      </w:rPr>
                                      <w:t>6</w:t>
                                    </w:r>
                                    <w:r>
                                      <w:rPr>
                                        <w:rFonts w:ascii="Open Sans" w:eastAsia="Times New Roman" w:hAnsi="Open Sans" w:cs="Open Sans"/>
                                        <w:color w:val="3D3D3D"/>
                                        <w:sz w:val="21"/>
                                        <w:szCs w:val="21"/>
                                      </w:rPr>
                                      <w:t>:Where</w:t>
                                    </w:r>
                                    <w:proofErr w:type="gramEnd"/>
                                    <w:r>
                                      <w:rPr>
                                        <w:rFonts w:ascii="Open Sans" w:eastAsia="Times New Roman" w:hAnsi="Open Sans" w:cs="Open Sans"/>
                                        <w:color w:val="3D3D3D"/>
                                        <w:sz w:val="21"/>
                                        <w:szCs w:val="21"/>
                                      </w:rPr>
                                      <w:t xml:space="preserve"> can we find out if ADS can be used for grants or not?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An ADS is considered part of the IBS; under the federal regulations, IBS may be </w:t>
                                    </w:r>
                                    <w:proofErr w:type="gramStart"/>
                                    <w:r>
                                      <w:rPr>
                                        <w:rFonts w:ascii="Open Sans" w:eastAsia="Times New Roman" w:hAnsi="Open Sans" w:cs="Open Sans"/>
                                        <w:color w:val="3D3D3D"/>
                                        <w:sz w:val="21"/>
                                        <w:szCs w:val="21"/>
                                      </w:rPr>
                                      <w:t>charged to</w:t>
                                    </w:r>
                                    <w:proofErr w:type="gramEnd"/>
                                    <w:r>
                                      <w:rPr>
                                        <w:rFonts w:ascii="Open Sans" w:eastAsia="Times New Roman" w:hAnsi="Open Sans" w:cs="Open Sans"/>
                                        <w:color w:val="3D3D3D"/>
                                        <w:sz w:val="21"/>
                                        <w:szCs w:val="21"/>
                                      </w:rPr>
                                      <w:t xml:space="preserve"> awards in proportion to the effort expended to benefit the objectives. The determination to use an ADS to cover effort on sponsored awards would need to be made at the unit level.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Workday wants one budget to cover over the cap. If we need more than one budget (ADS plus RCR) how </w:t>
                                    </w:r>
                                    <w:proofErr w:type="gramStart"/>
                                    <w:r>
                                      <w:rPr>
                                        <w:rFonts w:ascii="Open Sans" w:eastAsia="Times New Roman" w:hAnsi="Open Sans" w:cs="Open Sans"/>
                                        <w:color w:val="3D3D3D"/>
                                        <w:sz w:val="21"/>
                                        <w:szCs w:val="21"/>
                                      </w:rPr>
                                      <w:t>do</w:t>
                                    </w:r>
                                    <w:proofErr w:type="gramEnd"/>
                                    <w:r>
                                      <w:rPr>
                                        <w:rFonts w:ascii="Open Sans" w:eastAsia="Times New Roman" w:hAnsi="Open Sans" w:cs="Open Sans"/>
                                        <w:color w:val="3D3D3D"/>
                                        <w:sz w:val="21"/>
                                        <w:szCs w:val="21"/>
                                      </w:rPr>
                                      <w:t xml:space="preserve"> we do that?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Based on our knowledge, Workday will allow multiple sources to be used to cover the over-the-cap portion. If you are experiencing issues using multiple funding sources to cover the over-the-cap portion, please see your unit's payroll SME.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lastRenderedPageBreak/>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What specifically did Jesse outline as the solutions? With so much turnover, we have no idea who got that notification.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Please </w:t>
                                    </w:r>
                                    <w:hyperlink r:id="rId10" w:tgtFrame="_blank" w:history="1">
                                      <w:r>
                                        <w:rPr>
                                          <w:rStyle w:val="Hyperlink"/>
                                          <w:rFonts w:ascii="Open Sans" w:eastAsia="Times New Roman" w:hAnsi="Open Sans" w:cs="Open Sans"/>
                                          <w:sz w:val="21"/>
                                          <w:szCs w:val="21"/>
                                        </w:rPr>
                                        <w:t>see the links on this PAFC webpage</w:t>
                                      </w:r>
                                    </w:hyperlink>
                                    <w:r>
                                      <w:rPr>
                                        <w:rFonts w:ascii="Open Sans" w:eastAsia="Times New Roman" w:hAnsi="Open Sans" w:cs="Open Sans"/>
                                        <w:color w:val="3D3D3D"/>
                                        <w:sz w:val="21"/>
                                        <w:szCs w:val="21"/>
                                      </w:rPr>
                                      <w:t xml:space="preserve"> regarding the fixes for the over-the-cap issues with Hourly Employees and use of Salary Cap Fund.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Can you please explain how Workday calculates salary over the cap for clinical faculty whose X + Y is over the cap, but X is under the cap?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Workday doesn't perform the calculation in this scenario because the Clinical Pay data is not in Workday to allow for the system to calculate the cap amount. The REG, ADS, Clinical pay calculator must be used </w:t>
                                    </w:r>
                                    <w:proofErr w:type="gramStart"/>
                                    <w:r>
                                      <w:rPr>
                                        <w:rFonts w:ascii="Open Sans" w:eastAsia="Times New Roman" w:hAnsi="Open Sans" w:cs="Open Sans"/>
                                        <w:color w:val="3D3D3D"/>
                                        <w:sz w:val="21"/>
                                        <w:szCs w:val="21"/>
                                      </w:rPr>
                                      <w:t>in order to</w:t>
                                    </w:r>
                                    <w:proofErr w:type="gramEnd"/>
                                    <w:r>
                                      <w:rPr>
                                        <w:rFonts w:ascii="Open Sans" w:eastAsia="Times New Roman" w:hAnsi="Open Sans" w:cs="Open Sans"/>
                                        <w:color w:val="3D3D3D"/>
                                        <w:sz w:val="21"/>
                                        <w:szCs w:val="21"/>
                                      </w:rPr>
                                      <w:t xml:space="preserve"> determine the Workday payroll allocation and the amount of shift necessary in ECC to adjust to the level of effort. </w:t>
                                    </w:r>
                                  </w:p>
                                </w:tc>
                              </w:tr>
                            </w:tbl>
                            <w:p w14:paraId="750431A4"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13B3037A" w14:textId="77777777">
                                <w:tc>
                                  <w:tcPr>
                                    <w:tcW w:w="0" w:type="auto"/>
                                    <w:shd w:val="clear" w:color="auto" w:fill="FFFFFF"/>
                                    <w:tcMar>
                                      <w:top w:w="75" w:type="dxa"/>
                                      <w:left w:w="225" w:type="dxa"/>
                                      <w:bottom w:w="75" w:type="dxa"/>
                                      <w:right w:w="225" w:type="dxa"/>
                                    </w:tcMar>
                                    <w:hideMark/>
                                  </w:tcPr>
                                  <w:p w14:paraId="3CF164C1" w14:textId="77777777" w:rsidR="001A0C40" w:rsidRDefault="001A0C40">
                                    <w:pPr>
                                      <w:pStyle w:val="NormalWeb"/>
                                      <w:spacing w:line="330" w:lineRule="exact"/>
                                      <w:rPr>
                                        <w:rFonts w:ascii="Open Sans" w:hAnsi="Open Sans" w:cs="Open Sans"/>
                                        <w:color w:val="3D3D3D"/>
                                      </w:rPr>
                                    </w:pPr>
                                    <w:r>
                                      <w:rPr>
                                        <w:rFonts w:ascii="Open Sans" w:hAnsi="Open Sans" w:cs="Open Sans"/>
                                        <w:b/>
                                        <w:bCs/>
                                        <w:color w:val="3D3D3D"/>
                                      </w:rPr>
                                      <w:t>Q10</w:t>
                                    </w:r>
                                    <w:r>
                                      <w:rPr>
                                        <w:rFonts w:ascii="Open Sans" w:hAnsi="Open Sans" w:cs="Open Sans"/>
                                        <w:color w:val="3D3D3D"/>
                                      </w:rPr>
                                      <w:t>: What is the earliest review date for FECs that are 7/1/23-12/31/23?</w:t>
                                    </w:r>
                                    <w:r>
                                      <w:rPr>
                                        <w:rFonts w:ascii="Open Sans" w:hAnsi="Open Sans" w:cs="Open Sans"/>
                                        <w:b/>
                                        <w:bCs/>
                                        <w:color w:val="3D3D3D"/>
                                      </w:rPr>
                                      <w:br/>
                                      <w:t>A10</w:t>
                                    </w:r>
                                    <w:r>
                                      <w:rPr>
                                        <w:rFonts w:ascii="Open Sans" w:hAnsi="Open Sans" w:cs="Open Sans"/>
                                        <w:color w:val="3D3D3D"/>
                                      </w:rPr>
                                      <w:t xml:space="preserve">: Pre-Review is anticipated to begin on January 24th, </w:t>
                                    </w:r>
                                    <w:proofErr w:type="gramStart"/>
                                    <w:r>
                                      <w:rPr>
                                        <w:rFonts w:ascii="Open Sans" w:hAnsi="Open Sans" w:cs="Open Sans"/>
                                        <w:color w:val="3D3D3D"/>
                                      </w:rPr>
                                      <w:t>2024</w:t>
                                    </w:r>
                                    <w:proofErr w:type="gramEnd"/>
                                    <w:r>
                                      <w:rPr>
                                        <w:rFonts w:ascii="Open Sans" w:hAnsi="Open Sans" w:cs="Open Sans"/>
                                        <w:color w:val="3D3D3D"/>
                                      </w:rPr>
                                      <w:t xml:space="preserve"> for Effort Statements for the period 7/1/23 - 12/31/23. It is anticipated that certification will be due on April 19th, 2024.</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Q11</w:t>
                                    </w:r>
                                    <w:r>
                                      <w:rPr>
                                        <w:rFonts w:ascii="Open Sans" w:hAnsi="Open Sans" w:cs="Open Sans"/>
                                        <w:color w:val="3D3D3D"/>
                                      </w:rPr>
                                      <w:t xml:space="preserve">: Why doesn't the calculator just use the current cap and percentage of FTE to calculate the allowable salary $, and </w:t>
                                    </w:r>
                                    <w:proofErr w:type="spellStart"/>
                                    <w:r>
                                      <w:rPr>
                                        <w:rFonts w:ascii="Open Sans" w:hAnsi="Open Sans" w:cs="Open Sans"/>
                                        <w:color w:val="3D3D3D"/>
                                      </w:rPr>
                                      <w:t>and</w:t>
                                    </w:r>
                                    <w:proofErr w:type="spellEnd"/>
                                    <w:r>
                                      <w:rPr>
                                        <w:rFonts w:ascii="Open Sans" w:hAnsi="Open Sans" w:cs="Open Sans"/>
                                        <w:color w:val="3D3D3D"/>
                                      </w:rPr>
                                      <w:t xml:space="preserve"> charge the remainder to the </w:t>
                                    </w:r>
                                    <w:proofErr w:type="spellStart"/>
                                    <w:r>
                                      <w:rPr>
                                        <w:rFonts w:ascii="Open Sans" w:hAnsi="Open Sans" w:cs="Open Sans"/>
                                        <w:color w:val="3D3D3D"/>
                                      </w:rPr>
                                      <w:t>Worktag</w:t>
                                    </w:r>
                                    <w:proofErr w:type="spellEnd"/>
                                    <w:r>
                                      <w:rPr>
                                        <w:rFonts w:ascii="Open Sans" w:hAnsi="Open Sans" w:cs="Open Sans"/>
                                        <w:color w:val="3D3D3D"/>
                                      </w:rPr>
                                      <w:t xml:space="preserve"> that's been used for cap? It doesn't make sense that two over the cap faculty members with the same FTE commitment, have different amounts of salary charged, if one has ADS.</w:t>
                                    </w:r>
                                    <w:r>
                                      <w:rPr>
                                        <w:rFonts w:ascii="Open Sans" w:hAnsi="Open Sans" w:cs="Open Sans"/>
                                        <w:color w:val="3D3D3D"/>
                                      </w:rPr>
                                      <w:br/>
                                    </w:r>
                                    <w:r>
                                      <w:rPr>
                                        <w:rStyle w:val="Strong"/>
                                        <w:rFonts w:ascii="Open Sans" w:hAnsi="Open Sans" w:cs="Open Sans"/>
                                        <w:color w:val="3D3D3D"/>
                                      </w:rPr>
                                      <w:t>A11</w:t>
                                    </w:r>
                                    <w:r>
                                      <w:rPr>
                                        <w:rFonts w:ascii="Open Sans" w:hAnsi="Open Sans" w:cs="Open Sans"/>
                                        <w:color w:val="3D3D3D"/>
                                      </w:rPr>
                                      <w:t>: The same calculation can't be used for the situation with or without an ADS; ADS is part of the IBS and must be included in the calculation to determine compliance with the salary cap. REG and ADS represent two different pay components in Workday. If two faculty have the same effort commitment, but one has only REG and the other has REG+ADS, allocating the same level of REG pay will result in undercharging the awards with the faculty with REG+ADS. The calculator mimics what's occurring in Workday and determines the REG allocation to have a specific level of effort charged to a sponsored award.</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Q12</w:t>
                                    </w:r>
                                    <w:r>
                                      <w:rPr>
                                        <w:rFonts w:ascii="Open Sans" w:hAnsi="Open Sans" w:cs="Open Sans"/>
                                        <w:color w:val="3D3D3D"/>
                                      </w:rPr>
                                      <w:t>: I believe I heard that grant budget planning must use the IBS for budgeting purposes and NOT use reg pay. But this seems to only make sense if the plan is to charge the ADS proportionately against the award, yes? The latter slides suggested that charging the ADS proportionately is one option to address over the cap issues, but not the only way to fix it. This seems contradictory?</w:t>
                                    </w:r>
                                    <w:r>
                                      <w:rPr>
                                        <w:rFonts w:ascii="Open Sans" w:hAnsi="Open Sans" w:cs="Open Sans"/>
                                        <w:color w:val="3D3D3D"/>
                                      </w:rPr>
                                      <w:br/>
                                    </w:r>
                                    <w:r>
                                      <w:rPr>
                                        <w:rStyle w:val="Strong"/>
                                        <w:rFonts w:ascii="Open Sans" w:hAnsi="Open Sans" w:cs="Open Sans"/>
                                        <w:color w:val="3D3D3D"/>
                                      </w:rPr>
                                      <w:t>A13</w:t>
                                    </w:r>
                                    <w:r>
                                      <w:rPr>
                                        <w:rFonts w:ascii="Open Sans" w:hAnsi="Open Sans" w:cs="Open Sans"/>
                                        <w:color w:val="3D3D3D"/>
                                      </w:rPr>
                                      <w:t xml:space="preserve">: Effort in the proposal should always reflect the committed level of effort based on IBS. The issue of </w:t>
                                    </w:r>
                                    <w:proofErr w:type="gramStart"/>
                                    <w:r>
                                      <w:rPr>
                                        <w:rFonts w:ascii="Open Sans" w:hAnsi="Open Sans" w:cs="Open Sans"/>
                                        <w:color w:val="3D3D3D"/>
                                      </w:rPr>
                                      <w:t>whether or not</w:t>
                                    </w:r>
                                    <w:proofErr w:type="gramEnd"/>
                                    <w:r>
                                      <w:rPr>
                                        <w:rFonts w:ascii="Open Sans" w:hAnsi="Open Sans" w:cs="Open Sans"/>
                                        <w:color w:val="3D3D3D"/>
                                      </w:rPr>
                                      <w:t xml:space="preserve"> to charge the ADS directly to a sponsored award comes into play when a faculty member has a high level of effort in relation to their </w:t>
                                    </w:r>
                                    <w:r>
                                      <w:rPr>
                                        <w:rFonts w:ascii="Open Sans" w:hAnsi="Open Sans" w:cs="Open Sans"/>
                                        <w:color w:val="3D3D3D"/>
                                      </w:rPr>
                                      <w:lastRenderedPageBreak/>
                                      <w:t>IBS, and a significant portion of their pay from an ADS. Charging the ADS to the sponsored awards can be used in this specific instance when there is not enough REG to cover the over proposed level of effort.</w:t>
                                    </w:r>
                                  </w:p>
                                </w:tc>
                              </w:tr>
                            </w:tbl>
                            <w:p w14:paraId="55991E1C" w14:textId="77777777" w:rsidR="001A0C40" w:rsidRDefault="001A0C40">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A0C40" w14:paraId="1BA1608A" w14:textId="77777777">
                                <w:trPr>
                                  <w:trHeight w:val="30"/>
                                </w:trPr>
                                <w:tc>
                                  <w:tcPr>
                                    <w:tcW w:w="0" w:type="auto"/>
                                    <w:shd w:val="clear" w:color="auto" w:fill="A7A9AB"/>
                                    <w:vAlign w:val="center"/>
                                    <w:hideMark/>
                                  </w:tcPr>
                                  <w:p w14:paraId="6E24FA40" w14:textId="77777777" w:rsidR="001A0C40" w:rsidRDefault="001A0C40">
                                    <w:pPr>
                                      <w:spacing w:line="45" w:lineRule="exact"/>
                                      <w:rPr>
                                        <w:rFonts w:eastAsia="Times New Roman"/>
                                        <w:sz w:val="5"/>
                                        <w:szCs w:val="5"/>
                                      </w:rPr>
                                    </w:pPr>
                                    <w:r>
                                      <w:rPr>
                                        <w:rFonts w:eastAsia="Times New Roman"/>
                                        <w:sz w:val="5"/>
                                        <w:szCs w:val="5"/>
                                      </w:rPr>
                                      <w:t> </w:t>
                                    </w:r>
                                  </w:p>
                                </w:tc>
                              </w:tr>
                            </w:tbl>
                            <w:p w14:paraId="19014834"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4CD9A2BC" w14:textId="77777777">
                                <w:tc>
                                  <w:tcPr>
                                    <w:tcW w:w="0" w:type="auto"/>
                                    <w:shd w:val="clear" w:color="auto" w:fill="FFFFFF"/>
                                    <w:tcMar>
                                      <w:top w:w="300" w:type="dxa"/>
                                      <w:left w:w="225" w:type="dxa"/>
                                      <w:bottom w:w="75" w:type="dxa"/>
                                      <w:right w:w="225" w:type="dxa"/>
                                    </w:tcMar>
                                    <w:vAlign w:val="center"/>
                                    <w:hideMark/>
                                  </w:tcPr>
                                  <w:p w14:paraId="613BC3F6" w14:textId="77777777" w:rsidR="001A0C40" w:rsidRDefault="001A0C40">
                                    <w:pPr>
                                      <w:pStyle w:val="Heading2"/>
                                      <w:spacing w:line="330" w:lineRule="exact"/>
                                      <w:rPr>
                                        <w:rFonts w:ascii="Open Sans" w:eastAsia="Times New Roman" w:hAnsi="Open Sans" w:cs="Open Sans"/>
                                        <w:b/>
                                        <w:bCs/>
                                        <w:color w:val="4B2E84"/>
                                        <w:sz w:val="30"/>
                                        <w:szCs w:val="30"/>
                                      </w:rPr>
                                    </w:pPr>
                                    <w:bookmarkStart w:id="1" w:name="a2"/>
                                    <w:bookmarkEnd w:id="1"/>
                                    <w:r>
                                      <w:rPr>
                                        <w:rFonts w:ascii="Open Sans" w:eastAsia="Times New Roman" w:hAnsi="Open Sans" w:cs="Open Sans"/>
                                        <w:b/>
                                        <w:bCs/>
                                        <w:color w:val="4B2E84"/>
                                        <w:sz w:val="30"/>
                                        <w:szCs w:val="30"/>
                                      </w:rPr>
                                      <w:t xml:space="preserve">Changing Grant </w:t>
                                    </w:r>
                                    <w:proofErr w:type="spellStart"/>
                                    <w:r>
                                      <w:rPr>
                                        <w:rFonts w:ascii="Open Sans" w:eastAsia="Times New Roman" w:hAnsi="Open Sans" w:cs="Open Sans"/>
                                        <w:b/>
                                        <w:bCs/>
                                        <w:color w:val="4B2E84"/>
                                        <w:sz w:val="30"/>
                                        <w:szCs w:val="30"/>
                                      </w:rPr>
                                      <w:t>Worktags</w:t>
                                    </w:r>
                                    <w:proofErr w:type="spellEnd"/>
                                    <w:r>
                                      <w:rPr>
                                        <w:rFonts w:ascii="Open Sans" w:eastAsia="Times New Roman" w:hAnsi="Open Sans" w:cs="Open Sans"/>
                                        <w:b/>
                                        <w:bCs/>
                                        <w:color w:val="4B2E84"/>
                                        <w:sz w:val="30"/>
                                        <w:szCs w:val="30"/>
                                      </w:rPr>
                                      <w:t xml:space="preserve"> on Purchase Orders</w:t>
                                    </w:r>
                                  </w:p>
                                </w:tc>
                              </w:tr>
                            </w:tbl>
                            <w:p w14:paraId="5444F57D"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3EDD1D9E" w14:textId="77777777">
                                <w:tc>
                                  <w:tcPr>
                                    <w:tcW w:w="0" w:type="auto"/>
                                    <w:shd w:val="clear" w:color="auto" w:fill="FFFFFF"/>
                                    <w:tcMar>
                                      <w:top w:w="75" w:type="dxa"/>
                                      <w:left w:w="225" w:type="dxa"/>
                                      <w:bottom w:w="75" w:type="dxa"/>
                                      <w:right w:w="225" w:type="dxa"/>
                                    </w:tcMar>
                                    <w:hideMark/>
                                  </w:tcPr>
                                  <w:p w14:paraId="748AAB87"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If a subaward is in the wrong cost center and we are planning to submit a request to correct the cost center, what should we do?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Follow these steps:  </w:t>
                                    </w:r>
                                  </w:p>
                                  <w:p w14:paraId="06E34232" w14:textId="77777777" w:rsidR="001A0C40" w:rsidRDefault="001A0C40">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1) Check your purchase order to see if any invoices are applied to the PO. If they are in Approved or In Progress status, the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on that line cannot be changed. Ensure that those in-flight invoices are paid before moving to the next step. </w:t>
                                    </w:r>
                                  </w:p>
                                  <w:p w14:paraId="576F3E39" w14:textId="77777777" w:rsidR="001A0C40" w:rsidRDefault="001A0C40">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2) Send a GCA Only Award Modification Request (GCA Only MOD) to request the update to the grant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w:t>
                                    </w:r>
                                  </w:p>
                                  <w:p w14:paraId="61B2E42D" w14:textId="77777777" w:rsidR="001A0C40" w:rsidRDefault="001A0C40">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3) After GCA updates the grant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submit a request to </w:t>
                                    </w:r>
                                    <w:hyperlink r:id="rId11" w:tgtFrame="_blank" w:history="1">
                                      <w:r>
                                        <w:rPr>
                                          <w:rStyle w:val="Hyperlink"/>
                                          <w:rFonts w:ascii="Open Sans" w:eastAsia="Times New Roman" w:hAnsi="Open Sans" w:cs="Open Sans"/>
                                          <w:sz w:val="21"/>
                                          <w:szCs w:val="21"/>
                                        </w:rPr>
                                        <w:t>ospsubs@uw.edu</w:t>
                                      </w:r>
                                    </w:hyperlink>
                                    <w:r>
                                      <w:rPr>
                                        <w:rFonts w:ascii="Open Sans" w:eastAsia="Times New Roman" w:hAnsi="Open Sans" w:cs="Open Sans"/>
                                        <w:color w:val="3D3D3D"/>
                                        <w:sz w:val="21"/>
                                        <w:szCs w:val="21"/>
                                      </w:rPr>
                                      <w:t xml:space="preserve"> for a change to the PO to add a new PO line with the updated Grant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number. Include “PO modification - New PO Line” in the subject line and include the following details in the email: </w:t>
                                    </w:r>
                                  </w:p>
                                  <w:p w14:paraId="26E87987"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UWSC#</w:t>
                                    </w:r>
                                  </w:p>
                                  <w:p w14:paraId="3F8AE817"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New Grant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(GR#)</w:t>
                                    </w:r>
                                  </w:p>
                                  <w:p w14:paraId="4EF68F19"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PO Start and End </w:t>
                                    </w:r>
                                    <w:proofErr w:type="gramStart"/>
                                    <w:r>
                                      <w:rPr>
                                        <w:rFonts w:ascii="Open Sans" w:eastAsia="Times New Roman" w:hAnsi="Open Sans" w:cs="Open Sans"/>
                                        <w:color w:val="3D3D3D"/>
                                        <w:sz w:val="21"/>
                                        <w:szCs w:val="21"/>
                                      </w:rPr>
                                      <w:t>date</w:t>
                                    </w:r>
                                    <w:proofErr w:type="gramEnd"/>
                                  </w:p>
                                  <w:p w14:paraId="63DC9CA1"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Advance Payment - Yes or No</w:t>
                                    </w:r>
                                  </w:p>
                                  <w:p w14:paraId="2171B192"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Main PO Amount (less Advance, if applicable)</w:t>
                                    </w:r>
                                  </w:p>
                                  <w:p w14:paraId="21B5E2CA"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Advance Amount</w:t>
                                    </w:r>
                                  </w:p>
                                  <w:p w14:paraId="59CA346D"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PO Grand Total</w:t>
                                    </w:r>
                                  </w:p>
                                  <w:p w14:paraId="3D4A19A8" w14:textId="77777777" w:rsidR="001A0C40" w:rsidRDefault="001A0C40" w:rsidP="00BC6B5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Campus point of contact</w:t>
                                    </w:r>
                                  </w:p>
                                  <w:p w14:paraId="5EC716A0" w14:textId="77777777" w:rsidR="001A0C40" w:rsidRDefault="001A0C40">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4) When that change order is complete, check the grant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on the new line to ensure payments on future invoices can be made successfully. </w:t>
                                    </w:r>
                                  </w:p>
                                  <w:p w14:paraId="16BBD4BD" w14:textId="77777777" w:rsidR="001A0C40" w:rsidRDefault="001A0C40">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w:t>
                                    </w:r>
                                    <w:proofErr w:type="gramStart"/>
                                    <w:r>
                                      <w:rPr>
                                        <w:rStyle w:val="Strong"/>
                                        <w:rFonts w:ascii="Open Sans" w:eastAsia="Times New Roman" w:hAnsi="Open Sans" w:cs="Open Sans"/>
                                        <w:color w:val="3D3D3D"/>
                                        <w:sz w:val="21"/>
                                        <w:szCs w:val="21"/>
                                      </w:rPr>
                                      <w:t>2 </w:t>
                                    </w:r>
                                    <w:r>
                                      <w:rPr>
                                        <w:rFonts w:ascii="Open Sans" w:eastAsia="Times New Roman" w:hAnsi="Open Sans" w:cs="Open Sans"/>
                                        <w:color w:val="3D3D3D"/>
                                        <w:sz w:val="21"/>
                                        <w:szCs w:val="21"/>
                                      </w:rPr>
                                      <w:t>:Is</w:t>
                                    </w:r>
                                    <w:proofErr w:type="gramEnd"/>
                                    <w:r>
                                      <w:rPr>
                                        <w:rFonts w:ascii="Open Sans" w:eastAsia="Times New Roman" w:hAnsi="Open Sans" w:cs="Open Sans"/>
                                        <w:color w:val="3D3D3D"/>
                                        <w:sz w:val="21"/>
                                        <w:szCs w:val="21"/>
                                      </w:rPr>
                                      <w:t xml:space="preserve"> there a way to configure Workday like Ariba where a change in funding WT would be from that point forward (not retroactively) without a separate line being created which has its own downstream problems?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w:t>
                                    </w:r>
                                    <w:proofErr w:type="gramStart"/>
                                    <w:r>
                                      <w:rPr>
                                        <w:rFonts w:ascii="Open Sans" w:eastAsia="Times New Roman" w:hAnsi="Open Sans" w:cs="Open Sans"/>
                                        <w:color w:val="3D3D3D"/>
                                        <w:sz w:val="21"/>
                                        <w:szCs w:val="21"/>
                                      </w:rPr>
                                      <w:t>Unfortunately</w:t>
                                    </w:r>
                                    <w:proofErr w:type="gramEnd"/>
                                    <w:r>
                                      <w:rPr>
                                        <w:rFonts w:ascii="Open Sans" w:eastAsia="Times New Roman" w:hAnsi="Open Sans" w:cs="Open Sans"/>
                                        <w:color w:val="3D3D3D"/>
                                        <w:sz w:val="21"/>
                                        <w:szCs w:val="21"/>
                                      </w:rPr>
                                      <w:t xml:space="preserve"> there is not. Procurement has had extensive discussions with the IT team and consultants over the last few months before providing guidance. </w:t>
                                    </w:r>
                                  </w:p>
                                </w:tc>
                              </w:tr>
                            </w:tbl>
                            <w:p w14:paraId="43C610C3" w14:textId="77777777" w:rsidR="001A0C40" w:rsidRDefault="001A0C40">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A0C40" w14:paraId="18C43B01" w14:textId="77777777">
                                <w:trPr>
                                  <w:trHeight w:val="30"/>
                                </w:trPr>
                                <w:tc>
                                  <w:tcPr>
                                    <w:tcW w:w="0" w:type="auto"/>
                                    <w:shd w:val="clear" w:color="auto" w:fill="A7A9AB"/>
                                    <w:vAlign w:val="center"/>
                                    <w:hideMark/>
                                  </w:tcPr>
                                  <w:p w14:paraId="207DE4EE" w14:textId="77777777" w:rsidR="001A0C40" w:rsidRDefault="001A0C40">
                                    <w:pPr>
                                      <w:spacing w:line="45" w:lineRule="exact"/>
                                      <w:rPr>
                                        <w:rFonts w:eastAsia="Times New Roman"/>
                                        <w:sz w:val="5"/>
                                        <w:szCs w:val="5"/>
                                      </w:rPr>
                                    </w:pPr>
                                    <w:r>
                                      <w:rPr>
                                        <w:rFonts w:eastAsia="Times New Roman"/>
                                        <w:sz w:val="5"/>
                                        <w:szCs w:val="5"/>
                                      </w:rPr>
                                      <w:t> </w:t>
                                    </w:r>
                                  </w:p>
                                </w:tc>
                              </w:tr>
                            </w:tbl>
                            <w:p w14:paraId="3B186636"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10E79DD3" w14:textId="77777777">
                                <w:tc>
                                  <w:tcPr>
                                    <w:tcW w:w="0" w:type="auto"/>
                                    <w:shd w:val="clear" w:color="auto" w:fill="FFFFFF"/>
                                    <w:tcMar>
                                      <w:top w:w="300" w:type="dxa"/>
                                      <w:left w:w="225" w:type="dxa"/>
                                      <w:bottom w:w="75" w:type="dxa"/>
                                      <w:right w:w="225" w:type="dxa"/>
                                    </w:tcMar>
                                    <w:vAlign w:val="center"/>
                                    <w:hideMark/>
                                  </w:tcPr>
                                  <w:p w14:paraId="3215FF15" w14:textId="77777777" w:rsidR="001A0C40" w:rsidRDefault="001A0C40">
                                    <w:pPr>
                                      <w:pStyle w:val="Heading2"/>
                                      <w:spacing w:line="330" w:lineRule="exact"/>
                                      <w:rPr>
                                        <w:rFonts w:ascii="Open Sans" w:eastAsia="Times New Roman" w:hAnsi="Open Sans" w:cs="Open Sans"/>
                                        <w:b/>
                                        <w:bCs/>
                                        <w:color w:val="4B2E84"/>
                                        <w:sz w:val="30"/>
                                        <w:szCs w:val="30"/>
                                      </w:rPr>
                                    </w:pPr>
                                    <w:bookmarkStart w:id="2" w:name="a3"/>
                                    <w:bookmarkEnd w:id="2"/>
                                    <w:r>
                                      <w:rPr>
                                        <w:rFonts w:ascii="Open Sans" w:eastAsia="Times New Roman" w:hAnsi="Open Sans" w:cs="Open Sans"/>
                                        <w:b/>
                                        <w:bCs/>
                                        <w:color w:val="4B2E84"/>
                                        <w:sz w:val="30"/>
                                        <w:szCs w:val="30"/>
                                      </w:rPr>
                                      <w:t>GCA Update</w:t>
                                    </w:r>
                                  </w:p>
                                </w:tc>
                              </w:tr>
                            </w:tbl>
                            <w:p w14:paraId="209E6F49"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5E0DBB5F" w14:textId="77777777">
                                <w:tc>
                                  <w:tcPr>
                                    <w:tcW w:w="0" w:type="auto"/>
                                    <w:shd w:val="clear" w:color="auto" w:fill="FFFFFF"/>
                                    <w:tcMar>
                                      <w:top w:w="75" w:type="dxa"/>
                                      <w:left w:w="225" w:type="dxa"/>
                                      <w:bottom w:w="75" w:type="dxa"/>
                                      <w:right w:w="225" w:type="dxa"/>
                                    </w:tcMar>
                                    <w:hideMark/>
                                  </w:tcPr>
                                  <w:p w14:paraId="79200FDE"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lastRenderedPageBreak/>
                                      <w:t>Q1</w:t>
                                    </w:r>
                                    <w:r>
                                      <w:rPr>
                                        <w:rFonts w:ascii="Open Sans" w:eastAsia="Times New Roman" w:hAnsi="Open Sans" w:cs="Open Sans"/>
                                        <w:color w:val="3D3D3D"/>
                                        <w:sz w:val="21"/>
                                        <w:szCs w:val="21"/>
                                      </w:rPr>
                                      <w:t xml:space="preserve">: Is GCA still not processing close outs? If not, how do we get closeouts done for sponsor required close outs?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GCA will begin working on closeouts in January 2024. There is a significant backlog to work </w:t>
                                    </w:r>
                                    <w:proofErr w:type="gramStart"/>
                                    <w:r>
                                      <w:rPr>
                                        <w:rFonts w:ascii="Open Sans" w:eastAsia="Times New Roman" w:hAnsi="Open Sans" w:cs="Open Sans"/>
                                        <w:color w:val="3D3D3D"/>
                                        <w:sz w:val="21"/>
                                        <w:szCs w:val="21"/>
                                      </w:rPr>
                                      <w:t>through</w:t>
                                    </w:r>
                                    <w:proofErr w:type="gramEnd"/>
                                    <w:r>
                                      <w:rPr>
                                        <w:rFonts w:ascii="Open Sans" w:eastAsia="Times New Roman" w:hAnsi="Open Sans" w:cs="Open Sans"/>
                                        <w:color w:val="3D3D3D"/>
                                        <w:sz w:val="21"/>
                                        <w:szCs w:val="21"/>
                                      </w:rPr>
                                      <w:t xml:space="preserve"> but our first priority will be processing sponsor refunds. If there is an upcoming sponsor deadline, please communicate this to GCA through their  </w:t>
                                    </w:r>
                                    <w:hyperlink r:id="rId12" w:tgtFrame="_blank" w:history="1">
                                      <w:r>
                                        <w:rPr>
                                          <w:rStyle w:val="Hyperlink"/>
                                          <w:rFonts w:ascii="Open Sans" w:eastAsia="Times New Roman" w:hAnsi="Open Sans" w:cs="Open Sans"/>
                                          <w:sz w:val="21"/>
                                          <w:szCs w:val="21"/>
                                        </w:rPr>
                                        <w:t>Urgent Request process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Would it </w:t>
                                    </w:r>
                                    <w:proofErr w:type="gramStart"/>
                                    <w:r>
                                      <w:rPr>
                                        <w:rFonts w:ascii="Open Sans" w:eastAsia="Times New Roman" w:hAnsi="Open Sans" w:cs="Open Sans"/>
                                        <w:color w:val="3D3D3D"/>
                                        <w:sz w:val="21"/>
                                        <w:szCs w:val="21"/>
                                      </w:rPr>
                                      <w:t>possible</w:t>
                                    </w:r>
                                    <w:proofErr w:type="gramEnd"/>
                                    <w:r>
                                      <w:rPr>
                                        <w:rFonts w:ascii="Open Sans" w:eastAsia="Times New Roman" w:hAnsi="Open Sans" w:cs="Open Sans"/>
                                        <w:color w:val="3D3D3D"/>
                                        <w:sz w:val="21"/>
                                        <w:szCs w:val="21"/>
                                      </w:rPr>
                                      <w:t xml:space="preserve"> to provide reports and status updates related to security role requests submitted via Workday?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GCA does not handle Workday security role requests. It would be better to work with your Shared Environment on any pending security role requests.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Will the advance extension process be re-implemented? As Mods are slow to be approved, we’re coming close to the end of our advance budgets.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The advance extension process resumed last month so you should be able to submit requests as normal through SAGE. If you run into an issue, please email </w:t>
                                    </w:r>
                                    <w:hyperlink r:id="rId13" w:tgtFrame="_blank" w:history="1">
                                      <w:r>
                                        <w:rPr>
                                          <w:rStyle w:val="Hyperlink"/>
                                          <w:rFonts w:ascii="Open Sans" w:eastAsia="Times New Roman" w:hAnsi="Open Sans" w:cs="Open Sans"/>
                                          <w:sz w:val="21"/>
                                          <w:szCs w:val="21"/>
                                        </w:rPr>
                                        <w:t>sagehelp@uw.edu</w:t>
                                      </w:r>
                                    </w:hyperlink>
                                    <w:r>
                                      <w:rPr>
                                        <w:rFonts w:ascii="Open Sans" w:eastAsia="Times New Roman" w:hAnsi="Open Sans" w:cs="Open Sans"/>
                                        <w:color w:val="3D3D3D"/>
                                        <w:sz w:val="21"/>
                                        <w:szCs w:val="21"/>
                                      </w:rPr>
                                      <w:t xml:space="preserve">. Review the </w:t>
                                    </w:r>
                                    <w:hyperlink r:id="rId14" w:tgtFrame="_blank" w:history="1">
                                      <w:r>
                                        <w:rPr>
                                          <w:rStyle w:val="Hyperlink"/>
                                          <w:rFonts w:ascii="Open Sans" w:eastAsia="Times New Roman" w:hAnsi="Open Sans" w:cs="Open Sans"/>
                                          <w:sz w:val="21"/>
                                          <w:szCs w:val="21"/>
                                        </w:rPr>
                                        <w:t>instructions for extending an Advance</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Is there a status </w:t>
                                    </w:r>
                                    <w:proofErr w:type="gramStart"/>
                                    <w:r>
                                      <w:rPr>
                                        <w:rFonts w:ascii="Open Sans" w:eastAsia="Times New Roman" w:hAnsi="Open Sans" w:cs="Open Sans"/>
                                        <w:color w:val="3D3D3D"/>
                                        <w:sz w:val="21"/>
                                        <w:szCs w:val="21"/>
                                      </w:rPr>
                                      <w:t>similar to</w:t>
                                    </w:r>
                                    <w:proofErr w:type="gramEnd"/>
                                    <w:r>
                                      <w:rPr>
                                        <w:rFonts w:ascii="Open Sans" w:eastAsia="Times New Roman" w:hAnsi="Open Sans" w:cs="Open Sans"/>
                                        <w:color w:val="3D3D3D"/>
                                        <w:sz w:val="21"/>
                                        <w:szCs w:val="21"/>
                                      </w:rPr>
                                      <w:t xml:space="preserve"> status 3 where we can process transfers but have NO expenses post?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There currently is no Workday status that prevents new expenses from posting but allows expense transfers.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May we please have an update on the status of ONR invoicing.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ONR invoicing is current, but please contact GCA at </w:t>
                                    </w:r>
                                    <w:hyperlink r:id="rId15" w:tgtFrame="_blank" w:history="1">
                                      <w:r>
                                        <w:rPr>
                                          <w:rStyle w:val="Hyperlink"/>
                                          <w:rFonts w:ascii="Open Sans" w:eastAsia="Times New Roman" w:hAnsi="Open Sans" w:cs="Open Sans"/>
                                          <w:sz w:val="21"/>
                                          <w:szCs w:val="21"/>
                                        </w:rPr>
                                        <w:t>gcahelp@uw</w:t>
                                      </w:r>
                                    </w:hyperlink>
                                    <w:r>
                                      <w:rPr>
                                        <w:rFonts w:ascii="Open Sans" w:eastAsia="Times New Roman" w:hAnsi="Open Sans" w:cs="Open Sans"/>
                                        <w:color w:val="3D3D3D"/>
                                        <w:sz w:val="21"/>
                                        <w:szCs w:val="21"/>
                                      </w:rPr>
                                      <w:t xml:space="preserve">.edu with a specific award or concern. </w:t>
                                    </w:r>
                                  </w:p>
                                </w:tc>
                              </w:tr>
                            </w:tbl>
                            <w:p w14:paraId="4FDA11F0"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1C51B02C" w14:textId="77777777">
                                <w:tc>
                                  <w:tcPr>
                                    <w:tcW w:w="0" w:type="auto"/>
                                    <w:shd w:val="clear" w:color="auto" w:fill="FFFFFF"/>
                                    <w:tcMar>
                                      <w:top w:w="75" w:type="dxa"/>
                                      <w:left w:w="225" w:type="dxa"/>
                                      <w:bottom w:w="75" w:type="dxa"/>
                                      <w:right w:w="225" w:type="dxa"/>
                                    </w:tcMar>
                                    <w:hideMark/>
                                  </w:tcPr>
                                  <w:p w14:paraId="7BEF09A3"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Can you please update on temporary extensions?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GCA is prioritizing modification requests related to extensions or temporary extensions. Please use </w:t>
                                    </w:r>
                                    <w:hyperlink r:id="rId16" w:tgtFrame="_blank" w:history="1">
                                      <w:r>
                                        <w:rPr>
                                          <w:rStyle w:val="Hyperlink"/>
                                          <w:rFonts w:ascii="Open Sans" w:eastAsia="Times New Roman" w:hAnsi="Open Sans" w:cs="Open Sans"/>
                                          <w:sz w:val="21"/>
                                          <w:szCs w:val="21"/>
                                        </w:rPr>
                                        <w:t>GCA's Urgent Request process</w:t>
                                      </w:r>
                                    </w:hyperlink>
                                    <w:r>
                                      <w:rPr>
                                        <w:rFonts w:ascii="Open Sans" w:eastAsia="Times New Roman" w:hAnsi="Open Sans" w:cs="Open Sans"/>
                                        <w:color w:val="3D3D3D"/>
                                        <w:sz w:val="21"/>
                                        <w:szCs w:val="21"/>
                                      </w:rPr>
                                      <w:t xml:space="preserve"> to escalate a specific SAGE MOD.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When an award set up or a mod is processed it is still not showing up in SAGE to complete a subaward creation or advance request. I think I've been told that part of the process </w:t>
                                    </w:r>
                                    <w:proofErr w:type="gramStart"/>
                                    <w:r>
                                      <w:rPr>
                                        <w:rFonts w:ascii="Open Sans" w:eastAsia="Times New Roman" w:hAnsi="Open Sans" w:cs="Open Sans"/>
                                        <w:color w:val="3D3D3D"/>
                                        <w:sz w:val="21"/>
                                        <w:szCs w:val="21"/>
                                      </w:rPr>
                                      <w:t>has to</w:t>
                                    </w:r>
                                    <w:proofErr w:type="gramEnd"/>
                                    <w:r>
                                      <w:rPr>
                                        <w:rFonts w:ascii="Open Sans" w:eastAsia="Times New Roman" w:hAnsi="Open Sans" w:cs="Open Sans"/>
                                        <w:color w:val="3D3D3D"/>
                                        <w:sz w:val="21"/>
                                        <w:szCs w:val="21"/>
                                      </w:rPr>
                                      <w:t xml:space="preserve"> be done manually. Is this being worked on and how long until that's implemented?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With the 12/20 release, ORIS will be automatically syncing awards from Workday to SAGE, and we should not see this issue any longer. ORIS has been running weekly data syncs manually this past month to catch things up in the meantime.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Q8</w:t>
                                    </w:r>
                                    <w:r>
                                      <w:rPr>
                                        <w:rFonts w:ascii="Open Sans" w:eastAsia="Times New Roman" w:hAnsi="Open Sans" w:cs="Open Sans"/>
                                        <w:color w:val="3D3D3D"/>
                                        <w:sz w:val="21"/>
                                        <w:szCs w:val="21"/>
                                      </w:rPr>
                                      <w:t xml:space="preserve">: Please clarify if the standard recommendation is to submit an ADV request if the mod to activate an award is caught in the backlog.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We realize GCA's backlog </w:t>
                                    </w:r>
                                    <w:proofErr w:type="gramStart"/>
                                    <w:r>
                                      <w:rPr>
                                        <w:rFonts w:ascii="Open Sans" w:eastAsia="Times New Roman" w:hAnsi="Open Sans" w:cs="Open Sans"/>
                                        <w:color w:val="3D3D3D"/>
                                        <w:sz w:val="21"/>
                                        <w:szCs w:val="21"/>
                                      </w:rPr>
                                      <w:t>are</w:t>
                                    </w:r>
                                    <w:proofErr w:type="gramEnd"/>
                                    <w:r>
                                      <w:rPr>
                                        <w:rFonts w:ascii="Open Sans" w:eastAsia="Times New Roman" w:hAnsi="Open Sans" w:cs="Open Sans"/>
                                        <w:color w:val="3D3D3D"/>
                                        <w:sz w:val="21"/>
                                        <w:szCs w:val="21"/>
                                      </w:rPr>
                                      <w:t xml:space="preserve"> impactful. One option is to route an ADV if you need an award/award line established for a new award period and an ASR or MOD is backlogged. Please note that an ADV is not used to simply establish an award line for an existing award period. Another option is to route a </w:t>
                                    </w:r>
                                    <w:hyperlink r:id="rId17" w:tgtFrame="_blank" w:history="1">
                                      <w:r>
                                        <w:rPr>
                                          <w:rStyle w:val="Hyperlink"/>
                                          <w:rFonts w:ascii="Open Sans" w:eastAsia="Times New Roman" w:hAnsi="Open Sans" w:cs="Open Sans"/>
                                          <w:sz w:val="21"/>
                                          <w:szCs w:val="21"/>
                                        </w:rPr>
                                        <w:t>GCA Urgent Request</w:t>
                                      </w:r>
                                    </w:hyperlink>
                                    <w:r>
                                      <w:rPr>
                                        <w:rFonts w:ascii="Open Sans" w:eastAsia="Times New Roman" w:hAnsi="Open Sans" w:cs="Open Sans"/>
                                        <w:color w:val="3D3D3D"/>
                                        <w:sz w:val="21"/>
                                        <w:szCs w:val="21"/>
                                      </w:rPr>
                                      <w:t xml:space="preserve"> to escalate a specific SAGE ASR or MOD in GCA's processing queue.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What is the UW's plan for situations where closing deadlines are not </w:t>
                                    </w:r>
                                    <w:proofErr w:type="gramStart"/>
                                    <w:r>
                                      <w:rPr>
                                        <w:rFonts w:ascii="Open Sans" w:eastAsia="Times New Roman" w:hAnsi="Open Sans" w:cs="Open Sans"/>
                                        <w:color w:val="3D3D3D"/>
                                        <w:sz w:val="21"/>
                                        <w:szCs w:val="21"/>
                                      </w:rPr>
                                      <w:t>met</w:t>
                                    </w:r>
                                    <w:proofErr w:type="gramEnd"/>
                                    <w:r>
                                      <w:rPr>
                                        <w:rFonts w:ascii="Open Sans" w:eastAsia="Times New Roman" w:hAnsi="Open Sans" w:cs="Open Sans"/>
                                        <w:color w:val="3D3D3D"/>
                                        <w:sz w:val="21"/>
                                        <w:szCs w:val="21"/>
                                      </w:rPr>
                                      <w:t xml:space="preserve"> and final invoices are disallowed? How will those expenses be covered?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Each situation involving nonpayment from a sponsor is analyzed on a case-by-case basis by GCA staff and leadership.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w:t>
                                    </w:r>
                                    <w:proofErr w:type="gramStart"/>
                                    <w:r>
                                      <w:rPr>
                                        <w:rFonts w:ascii="Open Sans" w:eastAsia="Times New Roman" w:hAnsi="Open Sans" w:cs="Open Sans"/>
                                        <w:color w:val="3D3D3D"/>
                                        <w:sz w:val="21"/>
                                        <w:szCs w:val="21"/>
                                      </w:rPr>
                                      <w:t>In regards to</w:t>
                                    </w:r>
                                    <w:proofErr w:type="gramEnd"/>
                                    <w:r>
                                      <w:rPr>
                                        <w:rFonts w:ascii="Open Sans" w:eastAsia="Times New Roman" w:hAnsi="Open Sans" w:cs="Open Sans"/>
                                        <w:color w:val="3D3D3D"/>
                                        <w:sz w:val="21"/>
                                        <w:szCs w:val="21"/>
                                      </w:rPr>
                                      <w:t xml:space="preserve"> closing, does Award Portal have the transfer button functionality, like Grant Tracker, for a closing award that is in deficit to transfer the deficit to a non-sponsored project?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xml:space="preserve">Award Portal does not have the deficit transfer functionality that Grant Tracker did. GCA requests you submit an Award Portal ticket to GCA with an appropriate </w:t>
                                    </w:r>
                                    <w:proofErr w:type="spellStart"/>
                                    <w:r>
                                      <w:rPr>
                                        <w:rFonts w:ascii="Open Sans" w:eastAsia="Times New Roman" w:hAnsi="Open Sans" w:cs="Open Sans"/>
                                        <w:color w:val="3D3D3D"/>
                                        <w:sz w:val="21"/>
                                        <w:szCs w:val="21"/>
                                        <w:shd w:val="clear" w:color="auto" w:fill="FFFFFF"/>
                                      </w:rPr>
                                      <w:t>Worktag</w:t>
                                    </w:r>
                                    <w:proofErr w:type="spellEnd"/>
                                    <w:r>
                                      <w:rPr>
                                        <w:rFonts w:ascii="Open Sans" w:eastAsia="Times New Roman" w:hAnsi="Open Sans" w:cs="Open Sans"/>
                                        <w:color w:val="3D3D3D"/>
                                        <w:sz w:val="21"/>
                                        <w:szCs w:val="21"/>
                                        <w:shd w:val="clear" w:color="auto" w:fill="FFFFFF"/>
                                      </w:rPr>
                                      <w:t xml:space="preserve"> to transfer the deficit to and GCA will prepare and submit a journal in Workday.</w:t>
                                    </w:r>
                                    <w:r>
                                      <w:rPr>
                                        <w:rFonts w:ascii="Open Sans" w:eastAsia="Times New Roman" w:hAnsi="Open Sans" w:cs="Open Sans"/>
                                        <w:color w:val="3D3D3D"/>
                                        <w:sz w:val="21"/>
                                        <w:szCs w:val="21"/>
                                      </w:rPr>
                                      <w:t xml:space="preserve"> </w:t>
                                    </w:r>
                                  </w:p>
                                </w:tc>
                              </w:tr>
                            </w:tbl>
                            <w:p w14:paraId="04E04880"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54AF537F" w14:textId="77777777">
                                <w:tc>
                                  <w:tcPr>
                                    <w:tcW w:w="0" w:type="auto"/>
                                    <w:shd w:val="clear" w:color="auto" w:fill="FFFFFF"/>
                                    <w:tcMar>
                                      <w:top w:w="75" w:type="dxa"/>
                                      <w:left w:w="225" w:type="dxa"/>
                                      <w:bottom w:w="75" w:type="dxa"/>
                                      <w:right w:w="225" w:type="dxa"/>
                                    </w:tcMar>
                                    <w:hideMark/>
                                  </w:tcPr>
                                  <w:p w14:paraId="2B4A190A"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w:t>
                                    </w:r>
                                    <w:proofErr w:type="gramStart"/>
                                    <w:r>
                                      <w:rPr>
                                        <w:rStyle w:val="Strong"/>
                                        <w:rFonts w:ascii="Open Sans" w:eastAsia="Times New Roman" w:hAnsi="Open Sans" w:cs="Open Sans"/>
                                        <w:color w:val="3D3D3D"/>
                                        <w:sz w:val="21"/>
                                        <w:szCs w:val="21"/>
                                      </w:rPr>
                                      <w:t>11</w:t>
                                    </w:r>
                                    <w:r>
                                      <w:rPr>
                                        <w:rFonts w:ascii="Open Sans" w:eastAsia="Times New Roman" w:hAnsi="Open Sans" w:cs="Open Sans"/>
                                        <w:color w:val="3D3D3D"/>
                                        <w:sz w:val="21"/>
                                        <w:szCs w:val="21"/>
                                      </w:rPr>
                                      <w:t>:What</w:t>
                                    </w:r>
                                    <w:proofErr w:type="gramEnd"/>
                                    <w:r>
                                      <w:rPr>
                                        <w:rFonts w:ascii="Open Sans" w:eastAsia="Times New Roman" w:hAnsi="Open Sans" w:cs="Open Sans"/>
                                        <w:color w:val="3D3D3D"/>
                                        <w:sz w:val="21"/>
                                        <w:szCs w:val="21"/>
                                      </w:rPr>
                                      <w:t xml:space="preserve"> security role is required to edit budget dates and what is the pathway for that particular security role request?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The Workday security role needed to edit a transaction's Budget Date is the Shared Environment Accountant. For more information about how to change a Budget Date, please see the UW Connect article </w:t>
                                    </w:r>
                                    <w:hyperlink r:id="rId18" w:tgtFrame="_blank" w:history="1">
                                      <w:r>
                                        <w:rPr>
                                          <w:rStyle w:val="Hyperlink"/>
                                          <w:rFonts w:ascii="Open Sans" w:eastAsia="Times New Roman" w:hAnsi="Open Sans" w:cs="Open Sans"/>
                                          <w:sz w:val="21"/>
                                          <w:szCs w:val="21"/>
                                        </w:rPr>
                                        <w:t>Update Budget Date on Transaction</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Can we have more flexibility with changing Cost Centers like with award portal? Instead of a MOD since it's important for payroll?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GCA is currently reviewing the cost center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change process </w:t>
                                    </w:r>
                                    <w:proofErr w:type="gramStart"/>
                                    <w:r>
                                      <w:rPr>
                                        <w:rFonts w:ascii="Open Sans" w:eastAsia="Times New Roman" w:hAnsi="Open Sans" w:cs="Open Sans"/>
                                        <w:color w:val="3D3D3D"/>
                                        <w:sz w:val="21"/>
                                        <w:szCs w:val="21"/>
                                      </w:rPr>
                                      <w:t>in light of</w:t>
                                    </w:r>
                                    <w:proofErr w:type="gramEnd"/>
                                    <w:r>
                                      <w:rPr>
                                        <w:rFonts w:ascii="Open Sans" w:eastAsia="Times New Roman" w:hAnsi="Open Sans" w:cs="Open Sans"/>
                                        <w:color w:val="3D3D3D"/>
                                        <w:sz w:val="21"/>
                                        <w:szCs w:val="21"/>
                                      </w:rPr>
                                      <w:t xml:space="preserve"> the downstream impacts to payroll and purchase orders, as presented by Lynn Magill from Procurement Services. GCA will take this suggestion under advisement.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Any update on backlog of MODs?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GCA's backlog of SAGE Modification Requests is hovering around 1,100 items. GCA has seen an increase in the number of requests that have a SAGE Budget worksheet but still return a significant volume to campus for correction. GCA encourages campus partners to use their </w:t>
                                    </w:r>
                                    <w:hyperlink r:id="rId19" w:tgtFrame="_blank" w:history="1">
                                      <w:r>
                                        <w:rPr>
                                          <w:rStyle w:val="Hyperlink"/>
                                          <w:rFonts w:ascii="Open Sans" w:eastAsia="Times New Roman" w:hAnsi="Open Sans" w:cs="Open Sans"/>
                                          <w:sz w:val="21"/>
                                          <w:szCs w:val="21"/>
                                        </w:rPr>
                                        <w:t>SAGE Modification Request Checklist</w:t>
                                      </w:r>
                                    </w:hyperlink>
                                    <w:r>
                                      <w:rPr>
                                        <w:rFonts w:ascii="Open Sans" w:eastAsia="Times New Roman" w:hAnsi="Open Sans" w:cs="Open Sans"/>
                                        <w:color w:val="3D3D3D"/>
                                        <w:sz w:val="21"/>
                                        <w:szCs w:val="21"/>
                                      </w:rPr>
                                      <w:t xml:space="preserve"> as a guide for what is needed for each type of request. It is available on the GCA </w:t>
                                    </w:r>
                                    <w:r>
                                      <w:rPr>
                                        <w:rFonts w:ascii="Open Sans" w:eastAsia="Times New Roman" w:hAnsi="Open Sans" w:cs="Open Sans"/>
                                        <w:color w:val="3D3D3D"/>
                                        <w:sz w:val="21"/>
                                        <w:szCs w:val="21"/>
                                      </w:rPr>
                                      <w:lastRenderedPageBreak/>
                                      <w:t xml:space="preserve">Modifications webpage.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Regarding deficit transfer. I've done this and have been told by GCA that they can't make any transfers - departments need to do it. Should we still submit an Award Portal ticket to GCA with an appropriate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GCA is currently working out an issue with the Workday security role needed to process journals. They expect to have a resolution soon so their work on closeouts can begin next month. </w:t>
                                    </w:r>
                                  </w:p>
                                </w:tc>
                              </w:tr>
                            </w:tbl>
                            <w:p w14:paraId="6523182F"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225322F8" w14:textId="77777777">
                                <w:tc>
                                  <w:tcPr>
                                    <w:tcW w:w="0" w:type="auto"/>
                                    <w:shd w:val="clear" w:color="auto" w:fill="FFFFFF"/>
                                    <w:tcMar>
                                      <w:top w:w="75" w:type="dxa"/>
                                      <w:left w:w="225" w:type="dxa"/>
                                      <w:bottom w:w="75" w:type="dxa"/>
                                      <w:right w:w="225" w:type="dxa"/>
                                    </w:tcMar>
                                    <w:hideMark/>
                                  </w:tcPr>
                                  <w:p w14:paraId="0E63B63E"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Are there any updates on when grant residual balances from prior awards (previously closed out) will be sent to departments by GCA? At launch, I had thought that the entire remaining balance in our fixed price surplus budgets would have the </w:t>
                                    </w:r>
                                    <w:proofErr w:type="spellStart"/>
                                    <w:r>
                                      <w:rPr>
                                        <w:rFonts w:ascii="Open Sans" w:eastAsia="Times New Roman" w:hAnsi="Open Sans" w:cs="Open Sans"/>
                                        <w:color w:val="3D3D3D"/>
                                        <w:sz w:val="21"/>
                                        <w:szCs w:val="21"/>
                                      </w:rPr>
                                      <w:t>indirects</w:t>
                                    </w:r>
                                    <w:proofErr w:type="spellEnd"/>
                                    <w:r>
                                      <w:rPr>
                                        <w:rFonts w:ascii="Open Sans" w:eastAsia="Times New Roman" w:hAnsi="Open Sans" w:cs="Open Sans"/>
                                        <w:color w:val="3D3D3D"/>
                                        <w:sz w:val="21"/>
                                        <w:szCs w:val="21"/>
                                      </w:rPr>
                                      <w:t xml:space="preserve"> removed and the remainder distributed to campus departments for individual allocation to faculty. I realize there are a lot of higher priority items to process, but an update would be much appreciated.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A15</w:t>
                                    </w:r>
                                    <w:r>
                                      <w:rPr>
                                        <w:rFonts w:ascii="Open Sans" w:eastAsia="Times New Roman" w:hAnsi="Open Sans" w:cs="Open Sans"/>
                                        <w:color w:val="3D3D3D"/>
                                        <w:sz w:val="21"/>
                                        <w:szCs w:val="21"/>
                                      </w:rPr>
                                      <w:t xml:space="preserve">: GCA treats residual balances transfers as a high priority and will begin working on them in the next three months. The residual balance transfer process (formerly known as Fixed Price Surplus Transfers) will now involve transferring only the direct cost portion of the unspent cash balance from the sponsored program to a department's residual balance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GCA will provide updates at upcoming MRAMs as they make progress on closeouts. </w:t>
                                    </w:r>
                                  </w:p>
                                </w:tc>
                              </w:tr>
                            </w:tbl>
                            <w:p w14:paraId="6A7151A4" w14:textId="77777777" w:rsidR="001A0C40" w:rsidRDefault="001A0C40">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A0C40" w14:paraId="3665EA75" w14:textId="77777777">
                                <w:trPr>
                                  <w:trHeight w:val="30"/>
                                </w:trPr>
                                <w:tc>
                                  <w:tcPr>
                                    <w:tcW w:w="0" w:type="auto"/>
                                    <w:shd w:val="clear" w:color="auto" w:fill="A7A9AB"/>
                                    <w:vAlign w:val="center"/>
                                    <w:hideMark/>
                                  </w:tcPr>
                                  <w:p w14:paraId="185600B5" w14:textId="77777777" w:rsidR="001A0C40" w:rsidRDefault="001A0C40">
                                    <w:pPr>
                                      <w:spacing w:line="45" w:lineRule="exact"/>
                                      <w:rPr>
                                        <w:rFonts w:eastAsia="Times New Roman"/>
                                        <w:sz w:val="5"/>
                                        <w:szCs w:val="5"/>
                                      </w:rPr>
                                    </w:pPr>
                                    <w:r>
                                      <w:rPr>
                                        <w:rFonts w:eastAsia="Times New Roman"/>
                                        <w:sz w:val="5"/>
                                        <w:szCs w:val="5"/>
                                      </w:rPr>
                                      <w:t> </w:t>
                                    </w:r>
                                  </w:p>
                                </w:tc>
                              </w:tr>
                            </w:tbl>
                            <w:p w14:paraId="7EE06803"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4F3A92AF" w14:textId="77777777">
                                <w:tc>
                                  <w:tcPr>
                                    <w:tcW w:w="0" w:type="auto"/>
                                    <w:shd w:val="clear" w:color="auto" w:fill="FFFFFF"/>
                                    <w:tcMar>
                                      <w:top w:w="300" w:type="dxa"/>
                                      <w:left w:w="225" w:type="dxa"/>
                                      <w:bottom w:w="75" w:type="dxa"/>
                                      <w:right w:w="225" w:type="dxa"/>
                                    </w:tcMar>
                                    <w:vAlign w:val="center"/>
                                    <w:hideMark/>
                                  </w:tcPr>
                                  <w:p w14:paraId="02032F4F" w14:textId="77777777" w:rsidR="001A0C40" w:rsidRDefault="001A0C40">
                                    <w:pPr>
                                      <w:pStyle w:val="Heading2"/>
                                      <w:spacing w:line="330" w:lineRule="exact"/>
                                      <w:rPr>
                                        <w:rFonts w:ascii="Open Sans" w:eastAsia="Times New Roman" w:hAnsi="Open Sans" w:cs="Open Sans"/>
                                        <w:b/>
                                        <w:bCs/>
                                        <w:color w:val="4B2E84"/>
                                        <w:sz w:val="30"/>
                                        <w:szCs w:val="30"/>
                                      </w:rPr>
                                    </w:pPr>
                                    <w:bookmarkStart w:id="3" w:name="a4"/>
                                    <w:bookmarkEnd w:id="3"/>
                                    <w:r>
                                      <w:rPr>
                                        <w:rFonts w:ascii="Open Sans" w:eastAsia="Times New Roman" w:hAnsi="Open Sans" w:cs="Open Sans"/>
                                        <w:b/>
                                        <w:bCs/>
                                        <w:color w:val="4B2E84"/>
                                        <w:sz w:val="30"/>
                                        <w:szCs w:val="30"/>
                                      </w:rPr>
                                      <w:t>SAGE Search Tips &amp; Upcoming Release</w:t>
                                    </w:r>
                                  </w:p>
                                </w:tc>
                              </w:tr>
                            </w:tbl>
                            <w:p w14:paraId="151A2B21"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0AEB1164" w14:textId="77777777">
                                <w:tc>
                                  <w:tcPr>
                                    <w:tcW w:w="0" w:type="auto"/>
                                    <w:shd w:val="clear" w:color="auto" w:fill="FFFFFF"/>
                                    <w:tcMar>
                                      <w:top w:w="75" w:type="dxa"/>
                                      <w:left w:w="225" w:type="dxa"/>
                                      <w:bottom w:w="75" w:type="dxa"/>
                                      <w:right w:w="225" w:type="dxa"/>
                                    </w:tcMar>
                                    <w:hideMark/>
                                  </w:tcPr>
                                  <w:p w14:paraId="27F55C85"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SAGE Searches: have there been any updates on implementing search by PI?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The 12/20 release includes the ability to filter your award request list by PI. It will be the last option in your filter list.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If we have a MOD currently in review, but we know we plan to submit another MOD later… do you recommend we edit the budget outside of SAGE temporarily, e.g. a spreadsheet, so that the current SAGE budget is not confusing to reviewers when looking at the current MOD? Just not </w:t>
                                    </w:r>
                                    <w:proofErr w:type="gramStart"/>
                                    <w:r>
                                      <w:rPr>
                                        <w:rFonts w:ascii="Open Sans" w:eastAsia="Times New Roman" w:hAnsi="Open Sans" w:cs="Open Sans"/>
                                        <w:color w:val="3D3D3D"/>
                                        <w:sz w:val="21"/>
                                        <w:szCs w:val="21"/>
                                      </w:rPr>
                                      <w:t>sure</w:t>
                                    </w:r>
                                    <w:proofErr w:type="gramEnd"/>
                                    <w:r>
                                      <w:rPr>
                                        <w:rFonts w:ascii="Open Sans" w:eastAsia="Times New Roman" w:hAnsi="Open Sans" w:cs="Open Sans"/>
                                        <w:color w:val="3D3D3D"/>
                                        <w:sz w:val="21"/>
                                        <w:szCs w:val="21"/>
                                      </w:rPr>
                                      <w:t xml:space="preserve"> the best practice.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SAGE Budget is designed to use snapshots to capture changes over the life of an award, so you should make those changes within the SAGE Budget. There is not a need for a budget outside of SAGE budget.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For MOD #1 – enter budget data. Go to History. Click Add Snapshot when ready with the mod #1 changes. This will capture what’s in the budget at that time and no changes can be made within a snapshot, once taken. User provides the snapshot #1 </w:t>
                                    </w:r>
                                    <w:r>
                                      <w:rPr>
                                        <w:rFonts w:ascii="Open Sans" w:eastAsia="Times New Roman" w:hAnsi="Open Sans" w:cs="Open Sans"/>
                                        <w:color w:val="3D3D3D"/>
                                        <w:sz w:val="21"/>
                                        <w:szCs w:val="21"/>
                                      </w:rPr>
                                      <w:lastRenderedPageBreak/>
                                      <w:t xml:space="preserve">URL in MOD #1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For MOD #2 – make changes as needed in the same SAGE budget. Click Add Snapshot, when ready with the mod #2 changes. Provide the snapshot #2 URL in the MOD #2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Note: You can change the snapshot name, so you </w:t>
                                    </w:r>
                                    <w:proofErr w:type="gramStart"/>
                                    <w:r>
                                      <w:rPr>
                                        <w:rFonts w:ascii="Open Sans" w:eastAsia="Times New Roman" w:hAnsi="Open Sans" w:cs="Open Sans"/>
                                        <w:color w:val="3D3D3D"/>
                                        <w:sz w:val="21"/>
                                        <w:szCs w:val="21"/>
                                      </w:rPr>
                                      <w:t>could</w:t>
                                    </w:r>
                                    <w:proofErr w:type="gramEnd"/>
                                    <w:r>
                                      <w:rPr>
                                        <w:rFonts w:ascii="Open Sans" w:eastAsia="Times New Roman" w:hAnsi="Open Sans" w:cs="Open Sans"/>
                                        <w:color w:val="3D3D3D"/>
                                        <w:sz w:val="21"/>
                                        <w:szCs w:val="21"/>
                                      </w:rPr>
                                      <w:t xml:space="preserve"> enter the MOD# to help distinguish between the snapshots.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Will we be able to access an exportable list from SAGE for eGC1s again soon?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This feature is not part of ORIS's near-term </w:t>
                                    </w:r>
                                    <w:proofErr w:type="gramStart"/>
                                    <w:r>
                                      <w:rPr>
                                        <w:rFonts w:ascii="Open Sans" w:eastAsia="Times New Roman" w:hAnsi="Open Sans" w:cs="Open Sans"/>
                                        <w:color w:val="3D3D3D"/>
                                        <w:sz w:val="21"/>
                                        <w:szCs w:val="21"/>
                                      </w:rPr>
                                      <w:t>priorities, but</w:t>
                                    </w:r>
                                    <w:proofErr w:type="gramEnd"/>
                                    <w:r>
                                      <w:rPr>
                                        <w:rFonts w:ascii="Open Sans" w:eastAsia="Times New Roman" w:hAnsi="Open Sans" w:cs="Open Sans"/>
                                        <w:color w:val="3D3D3D"/>
                                        <w:sz w:val="21"/>
                                        <w:szCs w:val="21"/>
                                      </w:rPr>
                                      <w:t xml:space="preserve"> is in the backlog. Near-term priorities will focus on expanding integrations to Workday and other award section enhancements that help whittle away at the existing backlogs in award processing. </w:t>
                                    </w:r>
                                  </w:p>
                                </w:tc>
                              </w:tr>
                            </w:tbl>
                            <w:p w14:paraId="7706F035"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302B2260" w14:textId="77777777">
                                <w:tc>
                                  <w:tcPr>
                                    <w:tcW w:w="0" w:type="auto"/>
                                    <w:shd w:val="clear" w:color="auto" w:fill="FFFFFF"/>
                                    <w:tcMar>
                                      <w:top w:w="75" w:type="dxa"/>
                                      <w:left w:w="225" w:type="dxa"/>
                                      <w:bottom w:w="75" w:type="dxa"/>
                                      <w:right w:w="225" w:type="dxa"/>
                                    </w:tcMar>
                                    <w:hideMark/>
                                  </w:tcPr>
                                  <w:p w14:paraId="603A1B03" w14:textId="77777777" w:rsidR="001A0C40" w:rsidRDefault="001A0C40">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Is there a way to get email notification when there is a comment on the award set up/mod request? OR even notice of "new comment" in the search list?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ORIS will add this suggestion to the data collection currently happening for SAGE notifications.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For SAGE Awards or SAGE Budget: Is there a plan to or could this be added to the "</w:t>
                                    </w:r>
                                    <w:proofErr w:type="spellStart"/>
                                    <w:r>
                                      <w:rPr>
                                        <w:rFonts w:ascii="Open Sans" w:eastAsia="Times New Roman" w:hAnsi="Open Sans" w:cs="Open Sans"/>
                                        <w:color w:val="3D3D3D"/>
                                        <w:sz w:val="21"/>
                                        <w:szCs w:val="21"/>
                                      </w:rPr>
                                      <w:t>wishlist</w:t>
                                    </w:r>
                                    <w:proofErr w:type="spellEnd"/>
                                    <w:r>
                                      <w:rPr>
                                        <w:rFonts w:ascii="Open Sans" w:eastAsia="Times New Roman" w:hAnsi="Open Sans" w:cs="Open Sans"/>
                                        <w:color w:val="3D3D3D"/>
                                        <w:sz w:val="21"/>
                                        <w:szCs w:val="21"/>
                                      </w:rPr>
                                      <w:t xml:space="preserve">" to add in fields that both prompt us and allow us to add in the other </w:t>
                                    </w:r>
                                    <w:proofErr w:type="spellStart"/>
                                    <w:r>
                                      <w:rPr>
                                        <w:rFonts w:ascii="Open Sans" w:eastAsia="Times New Roman" w:hAnsi="Open Sans" w:cs="Open Sans"/>
                                        <w:color w:val="3D3D3D"/>
                                        <w:sz w:val="21"/>
                                        <w:szCs w:val="21"/>
                                      </w:rPr>
                                      <w:t>Worktags</w:t>
                                    </w:r>
                                    <w:proofErr w:type="spellEnd"/>
                                    <w:r>
                                      <w:rPr>
                                        <w:rFonts w:ascii="Open Sans" w:eastAsia="Times New Roman" w:hAnsi="Open Sans" w:cs="Open Sans"/>
                                        <w:color w:val="3D3D3D"/>
                                        <w:sz w:val="21"/>
                                        <w:szCs w:val="21"/>
                                      </w:rPr>
                                      <w:t xml:space="preserve"> we want associated with the AWD (e.g. PI-specific </w:t>
                                    </w:r>
                                    <w:proofErr w:type="spellStart"/>
                                    <w:r>
                                      <w:rPr>
                                        <w:rFonts w:ascii="Open Sans" w:eastAsia="Times New Roman" w:hAnsi="Open Sans" w:cs="Open Sans"/>
                                        <w:color w:val="3D3D3D"/>
                                        <w:sz w:val="21"/>
                                        <w:szCs w:val="21"/>
                                      </w:rPr>
                                      <w:t>Worktags</w:t>
                                    </w:r>
                                    <w:proofErr w:type="spellEnd"/>
                                    <w:r>
                                      <w:rPr>
                                        <w:rFonts w:ascii="Open Sans" w:eastAsia="Times New Roman" w:hAnsi="Open Sans" w:cs="Open Sans"/>
                                        <w:color w:val="3D3D3D"/>
                                        <w:sz w:val="21"/>
                                        <w:szCs w:val="21"/>
                                      </w:rPr>
                                      <w:t xml:space="preserve"> such as Program, Assignee)? As of now, need to remember to add this in as a comment in SAGE Awards.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Thanks for this suggestion. Great idea. ORIS will add it to the backlog. </w:t>
                                    </w:r>
                                  </w:p>
                                </w:tc>
                              </w:tr>
                            </w:tbl>
                            <w:p w14:paraId="01D28004" w14:textId="77777777" w:rsidR="001A0C40" w:rsidRDefault="001A0C40">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A0C40" w14:paraId="3DA3A8B0" w14:textId="77777777">
                                <w:trPr>
                                  <w:trHeight w:val="30"/>
                                </w:trPr>
                                <w:tc>
                                  <w:tcPr>
                                    <w:tcW w:w="0" w:type="auto"/>
                                    <w:shd w:val="clear" w:color="auto" w:fill="A7A9AB"/>
                                    <w:vAlign w:val="center"/>
                                    <w:hideMark/>
                                  </w:tcPr>
                                  <w:p w14:paraId="0385C358" w14:textId="77777777" w:rsidR="001A0C40" w:rsidRDefault="001A0C40">
                                    <w:pPr>
                                      <w:spacing w:line="45" w:lineRule="exact"/>
                                      <w:rPr>
                                        <w:rFonts w:eastAsia="Times New Roman"/>
                                        <w:sz w:val="5"/>
                                        <w:szCs w:val="5"/>
                                      </w:rPr>
                                    </w:pPr>
                                    <w:r>
                                      <w:rPr>
                                        <w:rFonts w:eastAsia="Times New Roman"/>
                                        <w:sz w:val="5"/>
                                        <w:szCs w:val="5"/>
                                      </w:rPr>
                                      <w:t> </w:t>
                                    </w:r>
                                  </w:p>
                                </w:tc>
                              </w:tr>
                            </w:tbl>
                            <w:p w14:paraId="4A8B4EBB"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1AFFCB05" w14:textId="77777777">
                                <w:tc>
                                  <w:tcPr>
                                    <w:tcW w:w="0" w:type="auto"/>
                                    <w:shd w:val="clear" w:color="auto" w:fill="FFFFFF"/>
                                    <w:tcMar>
                                      <w:top w:w="75" w:type="dxa"/>
                                      <w:left w:w="225" w:type="dxa"/>
                                      <w:bottom w:w="75" w:type="dxa"/>
                                      <w:right w:w="225" w:type="dxa"/>
                                    </w:tcMar>
                                    <w:hideMark/>
                                  </w:tcPr>
                                  <w:p w14:paraId="5D582E94" w14:textId="77777777" w:rsidR="001A0C40" w:rsidRDefault="001A0C40">
                                    <w:pPr>
                                      <w:pStyle w:val="NormalWeb"/>
                                      <w:spacing w:line="330" w:lineRule="exact"/>
                                      <w:rPr>
                                        <w:rFonts w:ascii="Open Sans" w:hAnsi="Open Sans" w:cs="Open Sans"/>
                                        <w:color w:val="3D3D3D"/>
                                      </w:rPr>
                                    </w:pPr>
                                    <w:r>
                                      <w:rPr>
                                        <w:rFonts w:ascii="Open Sans" w:hAnsi="Open Sans" w:cs="Open Sans"/>
                                        <w:color w:val="3D3D3D"/>
                                      </w:rPr>
                                      <w:t>Thank you,</w:t>
                                    </w:r>
                                    <w:r>
                                      <w:rPr>
                                        <w:rFonts w:ascii="Open Sans" w:hAnsi="Open Sans" w:cs="Open Sans"/>
                                        <w:color w:val="3D3D3D"/>
                                      </w:rPr>
                                      <w:br/>
                                      <w:t>MRAM</w:t>
                                    </w:r>
                                  </w:p>
                                </w:tc>
                              </w:tr>
                            </w:tbl>
                            <w:p w14:paraId="621C3DD4" w14:textId="77777777" w:rsidR="001A0C40" w:rsidRDefault="001A0C40">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1A0C40" w14:paraId="026A1BED" w14:textId="77777777">
                                <w:trPr>
                                  <w:trHeight w:val="30"/>
                                </w:trPr>
                                <w:tc>
                                  <w:tcPr>
                                    <w:tcW w:w="0" w:type="auto"/>
                                    <w:shd w:val="clear" w:color="auto" w:fill="A7A9AB"/>
                                    <w:vAlign w:val="center"/>
                                    <w:hideMark/>
                                  </w:tcPr>
                                  <w:p w14:paraId="707CE500" w14:textId="77777777" w:rsidR="001A0C40" w:rsidRDefault="001A0C40">
                                    <w:pPr>
                                      <w:spacing w:line="45" w:lineRule="exact"/>
                                      <w:rPr>
                                        <w:rFonts w:eastAsia="Times New Roman"/>
                                        <w:sz w:val="5"/>
                                        <w:szCs w:val="5"/>
                                      </w:rPr>
                                    </w:pPr>
                                    <w:r>
                                      <w:rPr>
                                        <w:rFonts w:eastAsia="Times New Roman"/>
                                        <w:sz w:val="5"/>
                                        <w:szCs w:val="5"/>
                                      </w:rPr>
                                      <w:t> </w:t>
                                    </w:r>
                                  </w:p>
                                </w:tc>
                              </w:tr>
                            </w:tbl>
                            <w:p w14:paraId="3BBE0E5E"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62155B9D" w14:textId="77777777">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4"/>
                                      <w:gridCol w:w="640"/>
                                    </w:tblGrid>
                                    <w:tr w:rsidR="001A0C40" w14:paraId="1FA241DC" w14:textId="77777777">
                                      <w:trPr>
                                        <w:trHeight w:val="600"/>
                                        <w:jc w:val="center"/>
                                      </w:trPr>
                                      <w:tc>
                                        <w:tcPr>
                                          <w:tcW w:w="0" w:type="auto"/>
                                          <w:shd w:val="clear" w:color="auto" w:fill="E8E3D3"/>
                                          <w:tcMar>
                                            <w:top w:w="0" w:type="dxa"/>
                                            <w:left w:w="225" w:type="dxa"/>
                                            <w:bottom w:w="0" w:type="dxa"/>
                                            <w:right w:w="225" w:type="dxa"/>
                                          </w:tcMar>
                                          <w:vAlign w:val="center"/>
                                          <w:hideMark/>
                                        </w:tcPr>
                                        <w:p w14:paraId="0539F9A1" w14:textId="77777777" w:rsidR="001A0C40" w:rsidRDefault="001A0C40">
                                          <w:pPr>
                                            <w:jc w:val="center"/>
                                            <w:rPr>
                                              <w:rFonts w:ascii="Open Sans" w:eastAsia="Times New Roman" w:hAnsi="Open Sans" w:cs="Open Sans"/>
                                              <w:b/>
                                              <w:bCs/>
                                              <w:sz w:val="24"/>
                                              <w:szCs w:val="24"/>
                                            </w:rPr>
                                          </w:pPr>
                                          <w:hyperlink r:id="rId20" w:tgtFrame="_blank" w:history="1">
                                            <w:r>
                                              <w:rPr>
                                                <w:rStyle w:val="Hyperlink"/>
                                                <w:rFonts w:ascii="Open Sans" w:eastAsia="Times New Roman" w:hAnsi="Open Sans" w:cs="Open Sans"/>
                                                <w:b/>
                                                <w:bCs/>
                                                <w:caps/>
                                                <w:color w:val="515050"/>
                                                <w:bdr w:val="single" w:sz="6" w:space="0" w:color="E8E3D3" w:frame="1"/>
                                              </w:rPr>
                                              <w:t>12/14 MRAM Material</w:t>
                                            </w:r>
                                          </w:hyperlink>
                                          <w:r>
                                            <w:rPr>
                                              <w:rFonts w:ascii="Open Sans" w:eastAsia="Times New Roman" w:hAnsi="Open Sans" w:cs="Open Sans"/>
                                              <w:b/>
                                              <w:bCs/>
                                              <w:sz w:val="24"/>
                                              <w:szCs w:val="24"/>
                                            </w:rPr>
                                            <w:t xml:space="preserve"> </w:t>
                                          </w:r>
                                        </w:p>
                                      </w:tc>
                                      <w:tc>
                                        <w:tcPr>
                                          <w:tcW w:w="0" w:type="auto"/>
                                          <w:vAlign w:val="center"/>
                                          <w:hideMark/>
                                        </w:tcPr>
                                        <w:p w14:paraId="1C2A58ED" w14:textId="43C03C47" w:rsidR="001A0C40" w:rsidRDefault="001A0C40">
                                          <w:pPr>
                                            <w:jc w:val="center"/>
                                            <w:rPr>
                                              <w:rFonts w:eastAsia="Times New Roman"/>
                                            </w:rPr>
                                          </w:pPr>
                                          <w:r>
                                            <w:rPr>
                                              <w:rFonts w:eastAsia="Times New Roman"/>
                                              <w:noProof/>
                                              <w:color w:val="00619E"/>
                                            </w:rPr>
                                            <w:drawing>
                                              <wp:inline distT="0" distB="0" distL="0" distR="0" wp14:anchorId="6007CB48" wp14:editId="1B987B55">
                                                <wp:extent cx="406400" cy="381000"/>
                                                <wp:effectExtent l="0" t="0" r="0" b="0"/>
                                                <wp:docPr id="1290401677"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 cy="381000"/>
                                                        </a:xfrm>
                                                        <a:prstGeom prst="rect">
                                                          <a:avLst/>
                                                        </a:prstGeom>
                                                        <a:noFill/>
                                                        <a:ln>
                                                          <a:noFill/>
                                                        </a:ln>
                                                      </pic:spPr>
                                                    </pic:pic>
                                                  </a:graphicData>
                                                </a:graphic>
                                              </wp:inline>
                                            </w:drawing>
                                          </w:r>
                                        </w:p>
                                      </w:tc>
                                    </w:tr>
                                  </w:tbl>
                                  <w:p w14:paraId="2EC54C85" w14:textId="77777777" w:rsidR="001A0C40" w:rsidRDefault="001A0C40">
                                    <w:pPr>
                                      <w:jc w:val="center"/>
                                      <w:rPr>
                                        <w:rFonts w:ascii="Times New Roman" w:eastAsia="Times New Roman" w:hAnsi="Times New Roman" w:cs="Times New Roman"/>
                                        <w:sz w:val="20"/>
                                        <w:szCs w:val="20"/>
                                      </w:rPr>
                                    </w:pPr>
                                  </w:p>
                                </w:tc>
                              </w:tr>
                            </w:tbl>
                            <w:p w14:paraId="686872F2"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2985"/>
                                <w:gridCol w:w="2985"/>
                                <w:gridCol w:w="2985"/>
                              </w:tblGrid>
                              <w:tr w:rsidR="001A0C40" w14:paraId="5E5D42C6" w14:textId="77777777">
                                <w:tc>
                                  <w:tcPr>
                                    <w:tcW w:w="1666" w:type="pct"/>
                                    <w:shd w:val="clear" w:color="auto" w:fill="6F7376"/>
                                    <w:tcMar>
                                      <w:top w:w="60" w:type="dxa"/>
                                      <w:left w:w="0" w:type="dxa"/>
                                      <w:bottom w:w="60" w:type="dxa"/>
                                      <w:right w:w="0" w:type="dxa"/>
                                    </w:tcMar>
                                    <w:vAlign w:val="center"/>
                                    <w:hideMark/>
                                  </w:tcPr>
                                  <w:p w14:paraId="0A0E90C0" w14:textId="77777777" w:rsidR="001A0C40" w:rsidRDefault="001A0C40">
                                    <w:pPr>
                                      <w:jc w:val="center"/>
                                      <w:rPr>
                                        <w:rFonts w:ascii="Open Sans" w:eastAsia="Times New Roman" w:hAnsi="Open Sans" w:cs="Open Sans"/>
                                        <w:b/>
                                        <w:bCs/>
                                        <w:caps/>
                                        <w:spacing w:val="18"/>
                                        <w:sz w:val="17"/>
                                        <w:szCs w:val="17"/>
                                      </w:rPr>
                                    </w:pPr>
                                    <w:hyperlink r:id="rId22" w:history="1">
                                      <w:r>
                                        <w:rPr>
                                          <w:rStyle w:val="Hyperlink"/>
                                          <w:rFonts w:ascii="Open Sans" w:eastAsia="Times New Roman" w:hAnsi="Open Sans" w:cs="Open Sans"/>
                                          <w:b/>
                                          <w:bCs/>
                                          <w:caps/>
                                          <w:color w:val="FFFFFF"/>
                                          <w:spacing w:val="18"/>
                                          <w:sz w:val="17"/>
                                          <w:szCs w:val="17"/>
                                        </w:rPr>
                                        <w:t>UW Home</w:t>
                                      </w:r>
                                    </w:hyperlink>
                                    <w:r>
                                      <w:rPr>
                                        <w:rFonts w:ascii="Open Sans" w:eastAsia="Times New Roman" w:hAnsi="Open Sans" w:cs="Open Sans"/>
                                        <w:b/>
                                        <w:bCs/>
                                        <w:caps/>
                                        <w:spacing w:val="18"/>
                                        <w:sz w:val="17"/>
                                        <w:szCs w:val="17"/>
                                      </w:rPr>
                                      <w:t xml:space="preserve"> </w:t>
                                    </w:r>
                                  </w:p>
                                </w:tc>
                                <w:tc>
                                  <w:tcPr>
                                    <w:tcW w:w="1666" w:type="pct"/>
                                    <w:shd w:val="clear" w:color="auto" w:fill="6F7376"/>
                                    <w:tcMar>
                                      <w:top w:w="60" w:type="dxa"/>
                                      <w:left w:w="0" w:type="dxa"/>
                                      <w:bottom w:w="60" w:type="dxa"/>
                                      <w:right w:w="0" w:type="dxa"/>
                                    </w:tcMar>
                                    <w:vAlign w:val="center"/>
                                    <w:hideMark/>
                                  </w:tcPr>
                                  <w:p w14:paraId="6BD3B943" w14:textId="77777777" w:rsidR="001A0C40" w:rsidRDefault="001A0C40">
                                    <w:pPr>
                                      <w:rPr>
                                        <w:rFonts w:ascii="Open Sans" w:eastAsia="Times New Roman" w:hAnsi="Open Sans" w:cs="Open Sans"/>
                                        <w:b/>
                                        <w:bCs/>
                                        <w:caps/>
                                        <w:spacing w:val="18"/>
                                        <w:sz w:val="17"/>
                                        <w:szCs w:val="17"/>
                                      </w:rPr>
                                    </w:pPr>
                                  </w:p>
                                </w:tc>
                                <w:tc>
                                  <w:tcPr>
                                    <w:tcW w:w="1666" w:type="pct"/>
                                    <w:shd w:val="clear" w:color="auto" w:fill="6F7376"/>
                                    <w:tcMar>
                                      <w:top w:w="60" w:type="dxa"/>
                                      <w:left w:w="0" w:type="dxa"/>
                                      <w:bottom w:w="60" w:type="dxa"/>
                                      <w:right w:w="0" w:type="dxa"/>
                                    </w:tcMar>
                                    <w:vAlign w:val="center"/>
                                    <w:hideMark/>
                                  </w:tcPr>
                                  <w:p w14:paraId="3477434A" w14:textId="77777777" w:rsidR="001A0C40" w:rsidRDefault="001A0C40">
                                    <w:pPr>
                                      <w:jc w:val="center"/>
                                      <w:rPr>
                                        <w:rFonts w:ascii="Open Sans" w:eastAsia="Times New Roman" w:hAnsi="Open Sans" w:cs="Open Sans"/>
                                        <w:b/>
                                        <w:bCs/>
                                        <w:caps/>
                                        <w:spacing w:val="15"/>
                                        <w:sz w:val="17"/>
                                        <w:szCs w:val="17"/>
                                      </w:rPr>
                                    </w:pPr>
                                    <w:hyperlink r:id="rId23" w:history="1">
                                      <w:r>
                                        <w:rPr>
                                          <w:rStyle w:val="Hyperlink"/>
                                          <w:rFonts w:ascii="Open Sans" w:eastAsia="Times New Roman" w:hAnsi="Open Sans" w:cs="Open Sans"/>
                                          <w:b/>
                                          <w:bCs/>
                                          <w:caps/>
                                          <w:color w:val="FFFFFF"/>
                                          <w:spacing w:val="15"/>
                                          <w:sz w:val="17"/>
                                          <w:szCs w:val="17"/>
                                        </w:rPr>
                                        <w:t>MRAM</w:t>
                                      </w:r>
                                    </w:hyperlink>
                                    <w:r>
                                      <w:rPr>
                                        <w:rFonts w:ascii="Open Sans" w:eastAsia="Times New Roman" w:hAnsi="Open Sans" w:cs="Open Sans"/>
                                        <w:b/>
                                        <w:bCs/>
                                        <w:caps/>
                                        <w:spacing w:val="15"/>
                                        <w:sz w:val="17"/>
                                        <w:szCs w:val="17"/>
                                      </w:rPr>
                                      <w:t xml:space="preserve"> </w:t>
                                    </w:r>
                                  </w:p>
                                </w:tc>
                              </w:tr>
                            </w:tbl>
                            <w:p w14:paraId="3AD79E6A" w14:textId="77777777" w:rsidR="001A0C40" w:rsidRDefault="001A0C40">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1A0C40" w14:paraId="7DD67CD4" w14:textId="77777777">
                                <w:tc>
                                  <w:tcPr>
                                    <w:tcW w:w="0" w:type="auto"/>
                                    <w:shd w:val="clear" w:color="auto" w:fill="FFFFFF"/>
                                    <w:tcMar>
                                      <w:top w:w="75" w:type="dxa"/>
                                      <w:left w:w="225" w:type="dxa"/>
                                      <w:bottom w:w="75" w:type="dxa"/>
                                      <w:right w:w="225" w:type="dxa"/>
                                    </w:tcMar>
                                    <w:hideMark/>
                                  </w:tcPr>
                                  <w:p w14:paraId="7CE52557" w14:textId="77777777" w:rsidR="001A0C40" w:rsidRDefault="001A0C40">
                                    <w:pPr>
                                      <w:spacing w:line="480" w:lineRule="auto"/>
                                      <w:jc w:val="center"/>
                                      <w:rPr>
                                        <w:rFonts w:ascii="Open Sans" w:eastAsia="Times New Roman" w:hAnsi="Open Sans" w:cs="Open Sans"/>
                                        <w:caps/>
                                        <w:sz w:val="14"/>
                                        <w:szCs w:val="14"/>
                                      </w:rPr>
                                    </w:pPr>
                                    <w:hyperlink r:id="rId24" w:history="1">
                                      <w:r>
                                        <w:rPr>
                                          <w:rStyle w:val="Hyperlink"/>
                                          <w:rFonts w:ascii="Open Sans" w:eastAsia="Times New Roman" w:hAnsi="Open Sans" w:cs="Open Sans"/>
                                          <w:caps/>
                                          <w:color w:val="3D3D3D"/>
                                          <w:sz w:val="14"/>
                                          <w:szCs w:val="14"/>
                                        </w:rPr>
                                        <w:t>Contact Us</w:t>
                                      </w:r>
                                    </w:hyperlink>
                                    <w:r>
                                      <w:rPr>
                                        <w:rFonts w:ascii="Open Sans" w:eastAsia="Times New Roman" w:hAnsi="Open Sans" w:cs="Open Sans"/>
                                        <w:caps/>
                                        <w:sz w:val="14"/>
                                        <w:szCs w:val="14"/>
                                      </w:rPr>
                                      <w:t xml:space="preserve">   |   </w:t>
                                    </w:r>
                                    <w:hyperlink r:id="rId25" w:history="1">
                                      <w:r>
                                        <w:rPr>
                                          <w:rStyle w:val="Hyperlink"/>
                                          <w:rFonts w:ascii="Open Sans" w:eastAsia="Times New Roman" w:hAnsi="Open Sans" w:cs="Open Sans"/>
                                          <w:caps/>
                                          <w:color w:val="3D3D3D"/>
                                          <w:sz w:val="14"/>
                                          <w:szCs w:val="14"/>
                                        </w:rPr>
                                        <w:t>Privacy</w:t>
                                      </w:r>
                                    </w:hyperlink>
                                    <w:r>
                                      <w:rPr>
                                        <w:rFonts w:ascii="Open Sans" w:eastAsia="Times New Roman" w:hAnsi="Open Sans" w:cs="Open Sans"/>
                                        <w:caps/>
                                        <w:sz w:val="14"/>
                                        <w:szCs w:val="14"/>
                                      </w:rPr>
                                      <w:t xml:space="preserve">   |   </w:t>
                                    </w:r>
                                    <w:hyperlink r:id="rId26" w:history="1">
                                      <w:r>
                                        <w:rPr>
                                          <w:rStyle w:val="Hyperlink"/>
                                          <w:rFonts w:ascii="Open Sans" w:eastAsia="Times New Roman" w:hAnsi="Open Sans" w:cs="Open Sans"/>
                                          <w:caps/>
                                          <w:color w:val="3D3D3D"/>
                                          <w:sz w:val="14"/>
                                          <w:szCs w:val="14"/>
                                        </w:rPr>
                                        <w:t>Terms</w:t>
                                      </w:r>
                                    </w:hyperlink>
                                    <w:r>
                                      <w:rPr>
                                        <w:rFonts w:ascii="Open Sans" w:eastAsia="Times New Roman" w:hAnsi="Open Sans" w:cs="Open Sans"/>
                                        <w:caps/>
                                        <w:sz w:val="14"/>
                                        <w:szCs w:val="14"/>
                                      </w:rPr>
                                      <w:t xml:space="preserve"> </w:t>
                                    </w:r>
                                  </w:p>
                                </w:tc>
                              </w:tr>
                              <w:tr w:rsidR="001A0C40" w14:paraId="48C9B744" w14:textId="77777777">
                                <w:tc>
                                  <w:tcPr>
                                    <w:tcW w:w="0" w:type="auto"/>
                                    <w:shd w:val="clear" w:color="auto" w:fill="FFFFFF"/>
                                    <w:tcMar>
                                      <w:top w:w="0" w:type="dxa"/>
                                      <w:left w:w="225" w:type="dxa"/>
                                      <w:bottom w:w="225" w:type="dxa"/>
                                      <w:right w:w="225" w:type="dxa"/>
                                    </w:tcMar>
                                    <w:hideMark/>
                                  </w:tcPr>
                                  <w:p w14:paraId="287FC588" w14:textId="77777777" w:rsidR="001A0C40" w:rsidRDefault="001A0C40">
                                    <w:pPr>
                                      <w:jc w:val="center"/>
                                      <w:rPr>
                                        <w:rFonts w:ascii="Open Sans" w:eastAsia="Times New Roman" w:hAnsi="Open Sans" w:cs="Open Sans"/>
                                        <w:color w:val="3D3D3D"/>
                                        <w:sz w:val="14"/>
                                        <w:szCs w:val="14"/>
                                      </w:rPr>
                                    </w:pPr>
                                    <w:r>
                                      <w:rPr>
                                        <w:rFonts w:ascii="Open Sans" w:eastAsia="Times New Roman" w:hAnsi="Open Sans" w:cs="Open Sans"/>
                                        <w:color w:val="3D3D3D"/>
                                        <w:sz w:val="14"/>
                                        <w:szCs w:val="14"/>
                                      </w:rPr>
                                      <w:t xml:space="preserve">This email was sent to </w:t>
                                    </w:r>
                                    <w:hyperlink r:id="rId27" w:history="1">
                                      <w:r>
                                        <w:rPr>
                                          <w:rStyle w:val="Hyperlink"/>
                                          <w:rFonts w:ascii="Open Sans" w:eastAsia="Times New Roman" w:hAnsi="Open Sans" w:cs="Open Sans"/>
                                          <w:color w:val="3D3D3D"/>
                                          <w:sz w:val="14"/>
                                          <w:szCs w:val="14"/>
                                        </w:rPr>
                                        <w:t>us@uw.edu</w:t>
                                      </w:r>
                                    </w:hyperlink>
                                    <w:r>
                                      <w:rPr>
                                        <w:rFonts w:ascii="Open Sans" w:eastAsia="Times New Roman" w:hAnsi="Open Sans" w:cs="Open Sans"/>
                                        <w:color w:val="3D3D3D"/>
                                        <w:sz w:val="14"/>
                                        <w:szCs w:val="14"/>
                                      </w:rPr>
                                      <w:br/>
                                    </w:r>
                                    <w:hyperlink r:id="rId28" w:history="1">
                                      <w:r>
                                        <w:rPr>
                                          <w:rStyle w:val="Hyperlink"/>
                                          <w:rFonts w:ascii="Open Sans" w:eastAsia="Times New Roman" w:hAnsi="Open Sans" w:cs="Open Sans"/>
                                          <w:color w:val="3D3D3D"/>
                                          <w:sz w:val="14"/>
                                          <w:szCs w:val="14"/>
                                        </w:rPr>
                                        <w:t>Unsubscribe or change your email preferences</w:t>
                                      </w:r>
                                    </w:hyperlink>
                                    <w:r>
                                      <w:rPr>
                                        <w:rFonts w:ascii="Open Sans" w:eastAsia="Times New Roman" w:hAnsi="Open Sans" w:cs="Open Sans"/>
                                        <w:color w:val="3D3D3D"/>
                                        <w:sz w:val="14"/>
                                        <w:szCs w:val="14"/>
                                      </w:rPr>
                                      <w:t xml:space="preserve"> </w:t>
                                    </w:r>
                                  </w:p>
                                </w:tc>
                              </w:tr>
                            </w:tbl>
                            <w:p w14:paraId="7D8882C4" w14:textId="77777777" w:rsidR="001A0C40" w:rsidRDefault="001A0C40">
                              <w:pPr>
                                <w:rPr>
                                  <w:rFonts w:ascii="Times New Roman" w:eastAsia="Times New Roman" w:hAnsi="Times New Roman" w:cs="Times New Roman"/>
                                  <w:sz w:val="20"/>
                                  <w:szCs w:val="20"/>
                                </w:rPr>
                              </w:pPr>
                            </w:p>
                          </w:tc>
                        </w:tr>
                      </w:tbl>
                      <w:p w14:paraId="1A24B822" w14:textId="77777777" w:rsidR="001A0C40" w:rsidRDefault="001A0C40">
                        <w:pPr>
                          <w:jc w:val="center"/>
                          <w:rPr>
                            <w:rFonts w:ascii="Times New Roman" w:eastAsia="Times New Roman" w:hAnsi="Times New Roman" w:cs="Times New Roman"/>
                            <w:sz w:val="20"/>
                            <w:szCs w:val="20"/>
                          </w:rPr>
                        </w:pPr>
                      </w:p>
                    </w:tc>
                  </w:tr>
                </w:tbl>
                <w:p w14:paraId="026E6B4A" w14:textId="77777777" w:rsidR="001A0C40" w:rsidRDefault="001A0C40">
                  <w:pPr>
                    <w:jc w:val="center"/>
                    <w:rPr>
                      <w:rFonts w:ascii="Times New Roman" w:eastAsia="Times New Roman" w:hAnsi="Times New Roman" w:cs="Times New Roman"/>
                      <w:sz w:val="20"/>
                      <w:szCs w:val="20"/>
                    </w:rPr>
                  </w:pPr>
                </w:p>
              </w:tc>
            </w:tr>
          </w:tbl>
          <w:p w14:paraId="3FCD64AE" w14:textId="77777777" w:rsidR="001A0C40" w:rsidRDefault="001A0C40">
            <w:pPr>
              <w:jc w:val="center"/>
              <w:rPr>
                <w:rFonts w:ascii="Times New Roman" w:eastAsia="Times New Roman" w:hAnsi="Times New Roman" w:cs="Times New Roman"/>
                <w:sz w:val="20"/>
                <w:szCs w:val="20"/>
              </w:rPr>
            </w:pPr>
          </w:p>
        </w:tc>
      </w:tr>
    </w:tbl>
    <w:p w14:paraId="15674DAF" w14:textId="74F83F88" w:rsidR="001A0C40" w:rsidRDefault="001A0C40" w:rsidP="001A0C40">
      <w:pPr>
        <w:rPr>
          <w:rFonts w:eastAsia="Times New Roman"/>
        </w:rPr>
      </w:pPr>
      <w:r>
        <w:rPr>
          <w:rFonts w:eastAsia="Times New Roman"/>
          <w:noProof/>
        </w:rPr>
        <w:lastRenderedPageBreak/>
        <w:drawing>
          <wp:inline distT="0" distB="0" distL="0" distR="0" wp14:anchorId="260E6AF1" wp14:editId="109666F3">
            <wp:extent cx="6350" cy="6350"/>
            <wp:effectExtent l="0" t="0" r="0" b="0"/>
            <wp:docPr id="350818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C9D83F7" w14:textId="77777777" w:rsidR="00000000" w:rsidRDefault="00000000"/>
    <w:sectPr w:rsidR="008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22B0"/>
    <w:multiLevelType w:val="multilevel"/>
    <w:tmpl w:val="EF94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C003F"/>
    <w:multiLevelType w:val="multilevel"/>
    <w:tmpl w:val="5E66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5565607">
    <w:abstractNumId w:val="1"/>
    <w:lvlOverride w:ilvl="0"/>
    <w:lvlOverride w:ilvl="1"/>
    <w:lvlOverride w:ilvl="2"/>
    <w:lvlOverride w:ilvl="3"/>
    <w:lvlOverride w:ilvl="4"/>
    <w:lvlOverride w:ilvl="5"/>
    <w:lvlOverride w:ilvl="6"/>
    <w:lvlOverride w:ilvl="7"/>
    <w:lvlOverride w:ilvl="8"/>
  </w:num>
  <w:num w:numId="2" w16cid:durableId="20753465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40"/>
    <w:rsid w:val="001947B5"/>
    <w:rsid w:val="001A0C40"/>
    <w:rsid w:val="0048376E"/>
    <w:rsid w:val="004D1F8E"/>
    <w:rsid w:val="00C9192A"/>
    <w:rsid w:val="00C95CD4"/>
    <w:rsid w:val="00D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531B"/>
  <w15:chartTrackingRefBased/>
  <w15:docId w15:val="{2448FAF8-F02D-4060-858D-D11BCE26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40"/>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1A0C40"/>
    <w:pPr>
      <w:spacing w:line="300" w:lineRule="exac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0C40"/>
    <w:rPr>
      <w:rFonts w:ascii="Calibri" w:hAnsi="Calibri" w:cs="Calibri"/>
      <w:kern w:val="0"/>
      <w:sz w:val="24"/>
      <w:szCs w:val="24"/>
      <w14:ligatures w14:val="none"/>
    </w:rPr>
  </w:style>
  <w:style w:type="character" w:styleId="Hyperlink">
    <w:name w:val="Hyperlink"/>
    <w:basedOn w:val="DefaultParagraphFont"/>
    <w:uiPriority w:val="99"/>
    <w:semiHidden/>
    <w:unhideWhenUsed/>
    <w:rsid w:val="001A0C40"/>
    <w:rPr>
      <w:color w:val="00619E"/>
      <w:u w:val="single"/>
    </w:rPr>
  </w:style>
  <w:style w:type="paragraph" w:styleId="NormalWeb">
    <w:name w:val="Normal (Web)"/>
    <w:basedOn w:val="Normal"/>
    <w:uiPriority w:val="99"/>
    <w:semiHidden/>
    <w:unhideWhenUsed/>
    <w:rsid w:val="001A0C40"/>
    <w:pPr>
      <w:spacing w:line="300" w:lineRule="exact"/>
    </w:pPr>
    <w:rPr>
      <w:sz w:val="21"/>
      <w:szCs w:val="21"/>
    </w:rPr>
  </w:style>
  <w:style w:type="character" w:styleId="Strong">
    <w:name w:val="Strong"/>
    <w:basedOn w:val="DefaultParagraphFont"/>
    <w:uiPriority w:val="22"/>
    <w:qFormat/>
    <w:rsid w:val="001A0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ortreporting@uw.edu" TargetMode="External"/><Relationship Id="rId13" Type="http://schemas.openxmlformats.org/officeDocument/2006/relationships/hyperlink" Target="mailto:sagehelp@uw.edu" TargetMode="External"/><Relationship Id="rId18" Type="http://schemas.openxmlformats.org/officeDocument/2006/relationships/hyperlink" Target="https://uwconnect.uw.edu/finance?id=kb_article_view&amp;sysparm_article=KB0032672" TargetMode="External"/><Relationship Id="rId26" Type="http://schemas.openxmlformats.org/officeDocument/2006/relationships/hyperlink" Target="https://discover.uw.edu/MTMxLUFRTy0yMjUAAAGQLGZmkKHCQLwObiwK5iILVO7X5onH3QSOHM9FaXtractM82F1iP5aW_pJ_15rkWgUVHyIey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finance.uw.edu/gca/mram/meeting/2023-12" TargetMode="External"/><Relationship Id="rId12" Type="http://schemas.openxmlformats.org/officeDocument/2006/relationships/hyperlink" Target="https://finance.uw.edu/gca/node/1720" TargetMode="External"/><Relationship Id="rId17" Type="http://schemas.openxmlformats.org/officeDocument/2006/relationships/hyperlink" Target="https://finance.uw.edu/gca/node/1720" TargetMode="External"/><Relationship Id="rId25" Type="http://schemas.openxmlformats.org/officeDocument/2006/relationships/hyperlink" Target="https://discover.uw.edu/MTMxLUFRTy0yMjUAAAGQLGZmkPxLRPCY4OaIjjkScx4K5UyLTlcgPN7akzIfwzFxVD6-sYxMqBqsTBy9IAxxH1WLJ9g=" TargetMode="External"/><Relationship Id="rId2" Type="http://schemas.openxmlformats.org/officeDocument/2006/relationships/styles" Target="styles.xml"/><Relationship Id="rId16" Type="http://schemas.openxmlformats.org/officeDocument/2006/relationships/hyperlink" Target="https://finance.uw.edu/gca/node/1720" TargetMode="External"/><Relationship Id="rId20" Type="http://schemas.openxmlformats.org/officeDocument/2006/relationships/hyperlink" Target="https://discover.uw.edu/MTMxLUFRTy0yMjUAAAGQLGZmkCilFeYir3lJmWtPU3u-6c2x8qa4tCwty3rrJC5vIW_fVdVzS_EvRh2y1hTgGNIrmUI="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spsubs@uw.edu" TargetMode="External"/><Relationship Id="rId24" Type="http://schemas.openxmlformats.org/officeDocument/2006/relationships/hyperlink" Target="https://discover.uw.edu/MTMxLUFRTy0yMjUAAAGQLGZmkLD9ZHxjLUxTflybV0w_Z_tIuyxydlavALcmrHwwAHOZXBAdXpZoNThU3l-RW0dDk3s=" TargetMode="External"/><Relationship Id="rId5" Type="http://schemas.openxmlformats.org/officeDocument/2006/relationships/hyperlink" Target="https://discover.uw.edu/MTMxLUFRTy0yMjUAAAGQLGZmkBZTkYfQdZiKGxS2tidTD8YKeCEvDjBHI_XmiejdTw0BbLThGktY-8VM-jjJ79oI4UM=" TargetMode="External"/><Relationship Id="rId15" Type="http://schemas.openxmlformats.org/officeDocument/2006/relationships/hyperlink" Target="mailto:gcahelp@uw.edu" TargetMode="External"/><Relationship Id="rId23" Type="http://schemas.openxmlformats.org/officeDocument/2006/relationships/hyperlink" Target="https://discover.uw.edu/MTMxLUFRTy0yMjUAAAGQLGZmkBPTwwBbl-zlA5gHP5ipcfn3udrjxGHt-uaTXrno-kEKMxsAGrYi_YyzoNDht-6bkTA=" TargetMode="External"/><Relationship Id="rId28" Type="http://schemas.openxmlformats.org/officeDocument/2006/relationships/hyperlink" Target="https://discover.uw.edu/dc/s0_afFuVBeZpG5HfC2pItdoyk_iXqjUzdyU9feBL9niw9StyPnLEmqJsTJOlbjtgXDeSeeu3hz6c5Ttevyih_SWlr56HQo-fW_BMyVZ9-TuptryXkmFShKUEDjUxIy5Yew2_5zJCOAORhU8vKioqgEHUKbvQZ7FeAmYOFPO7hLMkJRqAi9gj0T4yFrMxn0X6/MTMxLUFRTy0yMjUAAAGQLGZmkMh_fTm63PCtOgyqOD5n2SCETtPFxfm9cVYyNGQkDZmh8JmfRbD7hejV0qXugEbzzIg=" TargetMode="External"/><Relationship Id="rId10" Type="http://schemas.openxmlformats.org/officeDocument/2006/relationships/hyperlink" Target="https://finance.uw.edu/pafc/resources-salary-cap-issues-workday" TargetMode="External"/><Relationship Id="rId19" Type="http://schemas.openxmlformats.org/officeDocument/2006/relationships/hyperlink" Target="https://finance.uw.edu/gca/award-lifecycle/award-setup/modifica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nance.uw.edu/pafc/calculatorstools" TargetMode="External"/><Relationship Id="rId14" Type="http://schemas.openxmlformats.org/officeDocument/2006/relationships/hyperlink" Target="https://www.washington.edu/research/tools/sage/guide/advances/extending-an-advance/" TargetMode="External"/><Relationship Id="rId22" Type="http://schemas.openxmlformats.org/officeDocument/2006/relationships/hyperlink" Target="https://discover.uw.edu/MTMxLUFRTy0yMjUAAAGQLGZmkBZTkYfQdZiKGxS2tidTD8YKeCEvDjBHI_XmiejdTw0BbLThGktY-8VM-jjJ79oI4UM=" TargetMode="External"/><Relationship Id="rId27" Type="http://schemas.openxmlformats.org/officeDocument/2006/relationships/hyperlink" Target="mailto:us@uw.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16027</Characters>
  <Application>Microsoft Office Word</Application>
  <DocSecurity>0</DocSecurity>
  <Lines>133</Lines>
  <Paragraphs>37</Paragraphs>
  <ScaleCrop>false</ScaleCrop>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cp:revision>
  <dcterms:created xsi:type="dcterms:W3CDTF">2023-12-21T21:34:00Z</dcterms:created>
  <dcterms:modified xsi:type="dcterms:W3CDTF">2023-12-21T21:35:00Z</dcterms:modified>
</cp:coreProperties>
</file>