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30EEE1B5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DA2A0B">
        <w:br/>
      </w:r>
    </w:p>
    <w:p w14:paraId="0D88E8E1" w14:textId="7CC92341" w:rsidR="00BA3114" w:rsidRDefault="008C0D83" w:rsidP="00BA3114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</w:p>
    <w:p w14:paraId="4B5A6C46" w14:textId="283027C0" w:rsidR="00BA3114" w:rsidRPr="00BA3114" w:rsidRDefault="00BA3114" w:rsidP="00BA3114">
      <w:pPr>
        <w:pStyle w:val="ListParagrap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While the Office of Academic Personnel has had to change processes and respond to mandates associated with the COVID-19 pandemic, it has not substantively required changes to OAP’s strategic plan, budget/resourcing processes, or programmatic offerings.</w:t>
      </w:r>
      <w:r w:rsidR="00C645E4">
        <w:rPr>
          <w:color w:val="000000" w:themeColor="text1"/>
          <w:shd w:val="clear" w:color="auto" w:fill="FFFFFF"/>
        </w:rPr>
        <w:t xml:space="preserve">  Significant efforts have been made to ensure that the remote/hybrid working model has not negatively impacted services to units (e.g., electronic promotion/tenure record submission process) and to reprioritize tasks to focus on those that most significantly impact OAP’s service delivery to units (e.g., delaying EDM project). </w:t>
      </w:r>
    </w:p>
    <w:p w14:paraId="6325C769" w14:textId="050ED7C4" w:rsidR="002C0F01" w:rsidRPr="002C0F01" w:rsidRDefault="002C0F01" w:rsidP="002C0F01">
      <w:pPr>
        <w:pStyle w:val="ListParagraph"/>
        <w:rPr>
          <w:color w:val="000000" w:themeColor="text1"/>
          <w:shd w:val="clear" w:color="auto" w:fill="FFFFFF"/>
        </w:rPr>
      </w:pPr>
    </w:p>
    <w:p w14:paraId="7F56845D" w14:textId="77777777" w:rsidR="00BA3114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future plans to continue resourcing this important work.</w:t>
      </w:r>
    </w:p>
    <w:p w14:paraId="48D19E5A" w14:textId="77777777" w:rsidR="00BA3114" w:rsidRDefault="00BA3114" w:rsidP="00BA3114">
      <w:pPr>
        <w:pStyle w:val="ListParagraph"/>
        <w:rPr>
          <w:color w:val="000000" w:themeColor="text1"/>
        </w:rPr>
      </w:pPr>
    </w:p>
    <w:p w14:paraId="6F10D804" w14:textId="743BF87A" w:rsidR="00242326" w:rsidRDefault="00242326" w:rsidP="00242326">
      <w:pPr>
        <w:pStyle w:val="ListParagraph"/>
        <w:rPr>
          <w:i/>
          <w:iCs/>
          <w:color w:val="5B9BD5" w:themeColor="accent1"/>
          <w:sz w:val="20"/>
          <w:szCs w:val="20"/>
        </w:rPr>
      </w:pPr>
      <w:r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>
        <w:rPr>
          <w:i/>
          <w:iCs/>
          <w:color w:val="5B9BD5" w:themeColor="accent1"/>
          <w:sz w:val="20"/>
          <w:szCs w:val="20"/>
        </w:rPr>
        <w:t>7</w:t>
      </w:r>
      <w:r w:rsidRPr="0B21FAAD">
        <w:rPr>
          <w:i/>
          <w:iCs/>
          <w:color w:val="5B9BD5" w:themeColor="accent1"/>
          <w:sz w:val="20"/>
          <w:szCs w:val="20"/>
        </w:rPr>
        <w:t>50</w:t>
      </w:r>
    </w:p>
    <w:p w14:paraId="3BB8573B" w14:textId="77777777" w:rsidR="00242326" w:rsidRPr="002C0F01" w:rsidRDefault="00242326" w:rsidP="00242326">
      <w:pPr>
        <w:pStyle w:val="ListParagraph"/>
        <w:rPr>
          <w:color w:val="000000" w:themeColor="text1"/>
        </w:rPr>
      </w:pPr>
    </w:p>
    <w:p w14:paraId="5F5C31B3" w14:textId="2C538AD7" w:rsidR="00471109" w:rsidRDefault="00BA3114" w:rsidP="00BA3114">
      <w:pPr>
        <w:pStyle w:val="ListParagraph"/>
        <w:rPr>
          <w:color w:val="000000" w:themeColor="text1"/>
        </w:rPr>
      </w:pPr>
      <w:r>
        <w:rPr>
          <w:color w:val="000000" w:themeColor="text1"/>
        </w:rPr>
        <w:t>The Office of Academic Personnel</w:t>
      </w:r>
      <w:r w:rsidR="00C3214F">
        <w:rPr>
          <w:color w:val="000000" w:themeColor="text1"/>
        </w:rPr>
        <w:t xml:space="preserve"> (OAP)</w:t>
      </w:r>
      <w:r>
        <w:rPr>
          <w:color w:val="000000" w:themeColor="text1"/>
        </w:rPr>
        <w:t xml:space="preserve"> supports the UW’s Diversity goals</w:t>
      </w:r>
      <w:r w:rsidR="00C3214F">
        <w:rPr>
          <w:color w:val="000000" w:themeColor="text1"/>
        </w:rPr>
        <w:t xml:space="preserve"> at both the institutional and unit level. </w:t>
      </w:r>
      <w:r w:rsidR="00EA33D1">
        <w:rPr>
          <w:color w:val="000000" w:themeColor="text1"/>
        </w:rPr>
        <w:t xml:space="preserve"> In addition to its central role in preparing an annual census of</w:t>
      </w:r>
      <w:r w:rsidR="00F836BD">
        <w:rPr>
          <w:color w:val="000000" w:themeColor="text1"/>
        </w:rPr>
        <w:t xml:space="preserve"> academic personnel including demographic data and preparation of the annual affirmative action plan,</w:t>
      </w:r>
      <w:r w:rsidR="00EA33D1">
        <w:rPr>
          <w:color w:val="000000" w:themeColor="text1"/>
        </w:rPr>
        <w:t xml:space="preserve"> OAP is an essential partner</w:t>
      </w:r>
      <w:r w:rsidR="00F836BD">
        <w:rPr>
          <w:color w:val="000000" w:themeColor="text1"/>
        </w:rPr>
        <w:t xml:space="preserve"> in efforts </w:t>
      </w:r>
      <w:r w:rsidR="00862D61">
        <w:rPr>
          <w:color w:val="000000" w:themeColor="text1"/>
        </w:rPr>
        <w:t>including, but not limited to,</w:t>
      </w:r>
      <w:r w:rsidR="00EA33D1">
        <w:rPr>
          <w:color w:val="000000" w:themeColor="text1"/>
        </w:rPr>
        <w:t xml:space="preserve"> </w:t>
      </w:r>
      <w:r w:rsidR="00C3214F">
        <w:rPr>
          <w:color w:val="000000" w:themeColor="text1"/>
        </w:rPr>
        <w:t>the implementation of the Faculty Diversity Initiative, UW Seattle bridge funding program, the Office of Faculty Advancement</w:t>
      </w:r>
      <w:r w:rsidR="00EA33D1">
        <w:rPr>
          <w:color w:val="000000" w:themeColor="text1"/>
        </w:rPr>
        <w:t xml:space="preserve"> pilot of aggregate</w:t>
      </w:r>
      <w:r w:rsidR="00C3214F">
        <w:rPr>
          <w:color w:val="000000" w:themeColor="text1"/>
        </w:rPr>
        <w:t xml:space="preserve"> </w:t>
      </w:r>
      <w:r w:rsidR="00EA33D1">
        <w:rPr>
          <w:color w:val="000000" w:themeColor="text1"/>
        </w:rPr>
        <w:t>demographic data reports for faculty searches</w:t>
      </w:r>
      <w:r w:rsidR="00C3214F">
        <w:rPr>
          <w:color w:val="000000" w:themeColor="text1"/>
        </w:rPr>
        <w:t>,</w:t>
      </w:r>
      <w:r w:rsidR="00F836BD">
        <w:rPr>
          <w:color w:val="000000" w:themeColor="text1"/>
        </w:rPr>
        <w:t xml:space="preserve"> </w:t>
      </w:r>
      <w:r w:rsidR="00C3214F">
        <w:rPr>
          <w:color w:val="000000" w:themeColor="text1"/>
        </w:rPr>
        <w:t>the Faculty Senate adoption of a diversity, equity, and inclusion statement requirement for</w:t>
      </w:r>
      <w:r w:rsidR="00F836BD">
        <w:rPr>
          <w:color w:val="000000" w:themeColor="text1"/>
        </w:rPr>
        <w:t xml:space="preserve"> faculty searches, </w:t>
      </w:r>
      <w:r w:rsidR="00894221">
        <w:rPr>
          <w:color w:val="000000" w:themeColor="text1"/>
        </w:rPr>
        <w:t xml:space="preserve">and </w:t>
      </w:r>
      <w:r w:rsidR="00F836BD">
        <w:rPr>
          <w:color w:val="000000" w:themeColor="text1"/>
        </w:rPr>
        <w:t xml:space="preserve">the OMAD implementation of the legislative mandate for diversity training.  </w:t>
      </w:r>
    </w:p>
    <w:p w14:paraId="5F74B45B" w14:textId="1B37EDCA" w:rsidR="00471109" w:rsidRDefault="00471109" w:rsidP="00BA3114">
      <w:pPr>
        <w:pStyle w:val="ListParagraph"/>
        <w:rPr>
          <w:color w:val="000000" w:themeColor="text1"/>
        </w:rPr>
      </w:pPr>
    </w:p>
    <w:p w14:paraId="4BAA12FB" w14:textId="7695A95D" w:rsidR="00471109" w:rsidRDefault="00471109" w:rsidP="00BA3114">
      <w:pPr>
        <w:pStyle w:val="ListParagraph"/>
        <w:rPr>
          <w:color w:val="000000" w:themeColor="text1"/>
        </w:rPr>
      </w:pPr>
      <w:r>
        <w:rPr>
          <w:color w:val="000000" w:themeColor="text1"/>
        </w:rPr>
        <w:t>Annually the EOAA office meets with deans and chancellors to review the affirmative action plan and discuss strategies to respond to goals.  This year in particular there has been a focus on</w:t>
      </w:r>
      <w:r w:rsidR="00862D61">
        <w:rPr>
          <w:color w:val="000000" w:themeColor="text1"/>
        </w:rPr>
        <w:t xml:space="preserve"> working with the deans and chancellors in</w:t>
      </w:r>
      <w:r>
        <w:rPr>
          <w:color w:val="000000" w:themeColor="text1"/>
        </w:rPr>
        <w:t xml:space="preserve"> devising improved strategies for obtaining </w:t>
      </w:r>
      <w:r w:rsidR="00862D61">
        <w:rPr>
          <w:color w:val="000000" w:themeColor="text1"/>
        </w:rPr>
        <w:t xml:space="preserve">and developing more </w:t>
      </w:r>
      <w:r>
        <w:rPr>
          <w:color w:val="000000" w:themeColor="text1"/>
        </w:rPr>
        <w:t xml:space="preserve">appropriate applicant pool data. </w:t>
      </w:r>
    </w:p>
    <w:p w14:paraId="263585AB" w14:textId="77777777" w:rsidR="00471109" w:rsidRDefault="00471109" w:rsidP="00BA3114">
      <w:pPr>
        <w:pStyle w:val="ListParagraph"/>
        <w:rPr>
          <w:color w:val="000000" w:themeColor="text1"/>
        </w:rPr>
      </w:pPr>
    </w:p>
    <w:p w14:paraId="20F0135C" w14:textId="795BBFF1" w:rsidR="00F33849" w:rsidRPr="0089536A" w:rsidRDefault="00F836BD" w:rsidP="0089536A">
      <w:pPr>
        <w:pStyle w:val="ListParagraph"/>
        <w:rPr>
          <w:color w:val="000000" w:themeColor="text1"/>
        </w:rPr>
      </w:pPr>
      <w:r>
        <w:rPr>
          <w:color w:val="000000" w:themeColor="text1"/>
        </w:rPr>
        <w:t>Unit level efforts include an active DEI Working Group that is leading the development of training and</w:t>
      </w:r>
      <w:r w:rsidR="00894221">
        <w:rPr>
          <w:color w:val="000000" w:themeColor="text1"/>
        </w:rPr>
        <w:t xml:space="preserve"> a</w:t>
      </w:r>
      <w:r>
        <w:rPr>
          <w:color w:val="000000" w:themeColor="text1"/>
        </w:rPr>
        <w:t xml:space="preserve"> DEI resource bank and researching OAP hiring processes to identify opportunities for improved DEI practices</w:t>
      </w:r>
      <w:r w:rsidR="00862D61">
        <w:rPr>
          <w:color w:val="000000" w:themeColor="text1"/>
        </w:rPr>
        <w:t xml:space="preserve"> relating to attracting and retaining a more diverse staff</w:t>
      </w:r>
      <w:r>
        <w:rPr>
          <w:color w:val="000000" w:themeColor="text1"/>
        </w:rPr>
        <w:t>.</w:t>
      </w:r>
      <w:r w:rsidR="00862D61">
        <w:rPr>
          <w:color w:val="000000" w:themeColor="text1"/>
        </w:rPr>
        <w:t xml:space="preserve"> Also, the Working Group has conducted DEI training for OAP executive team and staff, as well as hosted book groups and movie discussions involving DEI-related subjects. Further, the Working Group has taken steps to improve accountability and transparency both internally and externally as it concerns DEI practices.</w:t>
      </w:r>
    </w:p>
    <w:sectPr w:rsidR="00F33849" w:rsidRPr="0089536A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39E" w14:textId="77777777" w:rsidR="004B6E46" w:rsidRDefault="004B6E46" w:rsidP="00B32DDA">
      <w:pPr>
        <w:spacing w:after="0" w:line="240" w:lineRule="auto"/>
      </w:pPr>
      <w:r>
        <w:separator/>
      </w:r>
    </w:p>
  </w:endnote>
  <w:endnote w:type="continuationSeparator" w:id="0">
    <w:p w14:paraId="48F35483" w14:textId="77777777" w:rsidR="004B6E46" w:rsidRDefault="004B6E46" w:rsidP="00B32DDA">
      <w:pPr>
        <w:spacing w:after="0" w:line="240" w:lineRule="auto"/>
      </w:pPr>
      <w:r>
        <w:continuationSeparator/>
      </w:r>
    </w:p>
  </w:endnote>
  <w:endnote w:type="continuationNotice" w:id="1">
    <w:p w14:paraId="624DD8D6" w14:textId="77777777" w:rsidR="004B6E46" w:rsidRDefault="004B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B9CE" w14:textId="77777777" w:rsidR="004B6E46" w:rsidRDefault="004B6E46" w:rsidP="00B32DDA">
      <w:pPr>
        <w:spacing w:after="0" w:line="240" w:lineRule="auto"/>
      </w:pPr>
      <w:r>
        <w:separator/>
      </w:r>
    </w:p>
  </w:footnote>
  <w:footnote w:type="continuationSeparator" w:id="0">
    <w:p w14:paraId="3833FAB2" w14:textId="77777777" w:rsidR="004B6E46" w:rsidRDefault="004B6E46" w:rsidP="00B32DDA">
      <w:pPr>
        <w:spacing w:after="0" w:line="240" w:lineRule="auto"/>
      </w:pPr>
      <w:r>
        <w:continuationSeparator/>
      </w:r>
    </w:p>
  </w:footnote>
  <w:footnote w:type="continuationNotice" w:id="1">
    <w:p w14:paraId="5DF1D0D3" w14:textId="77777777" w:rsidR="004B6E46" w:rsidRDefault="004B6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5A4014F0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ED1104">
      <w:rPr>
        <w:b/>
        <w:color w:val="FF0000"/>
        <w:sz w:val="24"/>
      </w:rPr>
      <w:t>Office of Academic Personnel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5"/>
  </w:num>
  <w:num w:numId="5">
    <w:abstractNumId w:val="14"/>
  </w:num>
  <w:num w:numId="6">
    <w:abstractNumId w:val="5"/>
  </w:num>
  <w:num w:numId="7">
    <w:abstractNumId w:val="18"/>
  </w:num>
  <w:num w:numId="8">
    <w:abstractNumId w:val="13"/>
  </w:num>
  <w:num w:numId="9">
    <w:abstractNumId w:val="2"/>
  </w:num>
  <w:num w:numId="10">
    <w:abstractNumId w:val="19"/>
  </w:num>
  <w:num w:numId="11">
    <w:abstractNumId w:val="3"/>
  </w:num>
  <w:num w:numId="12">
    <w:abstractNumId w:val="0"/>
  </w:num>
  <w:num w:numId="13">
    <w:abstractNumId w:val="1"/>
  </w:num>
  <w:num w:numId="14">
    <w:abstractNumId w:val="6"/>
  </w:num>
  <w:num w:numId="15">
    <w:abstractNumId w:val="9"/>
  </w:num>
  <w:num w:numId="16">
    <w:abstractNumId w:val="8"/>
  </w:num>
  <w:num w:numId="17">
    <w:abstractNumId w:val="7"/>
  </w:num>
  <w:num w:numId="18">
    <w:abstractNumId w:val="16"/>
  </w:num>
  <w:num w:numId="19">
    <w:abstractNumId w:val="17"/>
  </w:num>
  <w:num w:numId="20">
    <w:abstractNumId w:val="20"/>
  </w:num>
  <w:num w:numId="2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80A06"/>
    <w:rsid w:val="00081B8C"/>
    <w:rsid w:val="00083629"/>
    <w:rsid w:val="000C7069"/>
    <w:rsid w:val="000D1490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AFC"/>
    <w:rsid w:val="00113770"/>
    <w:rsid w:val="00132695"/>
    <w:rsid w:val="0015003D"/>
    <w:rsid w:val="0016531C"/>
    <w:rsid w:val="0017178D"/>
    <w:rsid w:val="00175F18"/>
    <w:rsid w:val="00176076"/>
    <w:rsid w:val="001A1429"/>
    <w:rsid w:val="001A616B"/>
    <w:rsid w:val="001B0419"/>
    <w:rsid w:val="001B1405"/>
    <w:rsid w:val="001D51F7"/>
    <w:rsid w:val="001D5FF1"/>
    <w:rsid w:val="001D61B2"/>
    <w:rsid w:val="001E15CB"/>
    <w:rsid w:val="00222C60"/>
    <w:rsid w:val="0024050D"/>
    <w:rsid w:val="00240A5C"/>
    <w:rsid w:val="00240D4A"/>
    <w:rsid w:val="00242326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7846"/>
    <w:rsid w:val="00320AD0"/>
    <w:rsid w:val="00334016"/>
    <w:rsid w:val="0035220D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B12"/>
    <w:rsid w:val="003C3C53"/>
    <w:rsid w:val="003C692E"/>
    <w:rsid w:val="003D2AAA"/>
    <w:rsid w:val="003F7317"/>
    <w:rsid w:val="00406325"/>
    <w:rsid w:val="004308CE"/>
    <w:rsid w:val="00433F0C"/>
    <w:rsid w:val="00441D0D"/>
    <w:rsid w:val="004608B5"/>
    <w:rsid w:val="00465802"/>
    <w:rsid w:val="00471109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504523"/>
    <w:rsid w:val="00512F9C"/>
    <w:rsid w:val="0052284F"/>
    <w:rsid w:val="005228D7"/>
    <w:rsid w:val="0054075C"/>
    <w:rsid w:val="00552F1F"/>
    <w:rsid w:val="00561815"/>
    <w:rsid w:val="005652FA"/>
    <w:rsid w:val="00570EE2"/>
    <w:rsid w:val="00575AD3"/>
    <w:rsid w:val="005A56B3"/>
    <w:rsid w:val="005A5D7D"/>
    <w:rsid w:val="005C6411"/>
    <w:rsid w:val="005D64AE"/>
    <w:rsid w:val="00600CA9"/>
    <w:rsid w:val="0060326D"/>
    <w:rsid w:val="00605E7E"/>
    <w:rsid w:val="00643B1F"/>
    <w:rsid w:val="0064756B"/>
    <w:rsid w:val="00650501"/>
    <w:rsid w:val="00653191"/>
    <w:rsid w:val="00655540"/>
    <w:rsid w:val="0065603F"/>
    <w:rsid w:val="00656980"/>
    <w:rsid w:val="00661BA6"/>
    <w:rsid w:val="00662EC1"/>
    <w:rsid w:val="00664FC6"/>
    <w:rsid w:val="006A02E6"/>
    <w:rsid w:val="006A14EE"/>
    <w:rsid w:val="006B2C9D"/>
    <w:rsid w:val="006B3EE4"/>
    <w:rsid w:val="006C1D2A"/>
    <w:rsid w:val="006E71B5"/>
    <w:rsid w:val="006F1030"/>
    <w:rsid w:val="00704E5A"/>
    <w:rsid w:val="00711B8D"/>
    <w:rsid w:val="00724FAE"/>
    <w:rsid w:val="007415B4"/>
    <w:rsid w:val="0074537D"/>
    <w:rsid w:val="00746DA1"/>
    <w:rsid w:val="00794274"/>
    <w:rsid w:val="007976B8"/>
    <w:rsid w:val="007A633F"/>
    <w:rsid w:val="007C3204"/>
    <w:rsid w:val="007D114D"/>
    <w:rsid w:val="007D163D"/>
    <w:rsid w:val="007D5F06"/>
    <w:rsid w:val="007D7335"/>
    <w:rsid w:val="007D7963"/>
    <w:rsid w:val="007F0C2A"/>
    <w:rsid w:val="00822B2E"/>
    <w:rsid w:val="00842646"/>
    <w:rsid w:val="00843F9E"/>
    <w:rsid w:val="00857957"/>
    <w:rsid w:val="00862D61"/>
    <w:rsid w:val="00866666"/>
    <w:rsid w:val="0087316F"/>
    <w:rsid w:val="00886046"/>
    <w:rsid w:val="0089023D"/>
    <w:rsid w:val="00893463"/>
    <w:rsid w:val="00894221"/>
    <w:rsid w:val="0089536A"/>
    <w:rsid w:val="008A52B9"/>
    <w:rsid w:val="008A7761"/>
    <w:rsid w:val="008B2E13"/>
    <w:rsid w:val="008B7FF9"/>
    <w:rsid w:val="008C0D83"/>
    <w:rsid w:val="008E1596"/>
    <w:rsid w:val="008E4785"/>
    <w:rsid w:val="008F19DE"/>
    <w:rsid w:val="008F48C8"/>
    <w:rsid w:val="00907505"/>
    <w:rsid w:val="0091057C"/>
    <w:rsid w:val="00911AA0"/>
    <w:rsid w:val="00925570"/>
    <w:rsid w:val="00936BD0"/>
    <w:rsid w:val="00942D98"/>
    <w:rsid w:val="00945195"/>
    <w:rsid w:val="0095513B"/>
    <w:rsid w:val="00972D7C"/>
    <w:rsid w:val="0098683D"/>
    <w:rsid w:val="009964D4"/>
    <w:rsid w:val="009A6B1D"/>
    <w:rsid w:val="009B22D3"/>
    <w:rsid w:val="009D7FF4"/>
    <w:rsid w:val="009E117E"/>
    <w:rsid w:val="009F1C54"/>
    <w:rsid w:val="009F3D17"/>
    <w:rsid w:val="009F70E6"/>
    <w:rsid w:val="00A128D2"/>
    <w:rsid w:val="00A203EC"/>
    <w:rsid w:val="00A226B0"/>
    <w:rsid w:val="00A32C28"/>
    <w:rsid w:val="00A35DA8"/>
    <w:rsid w:val="00A437F8"/>
    <w:rsid w:val="00A67292"/>
    <w:rsid w:val="00A736E9"/>
    <w:rsid w:val="00A943B6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835F7"/>
    <w:rsid w:val="00B92A6A"/>
    <w:rsid w:val="00B9357F"/>
    <w:rsid w:val="00B953D8"/>
    <w:rsid w:val="00BA1835"/>
    <w:rsid w:val="00BA2BB0"/>
    <w:rsid w:val="00BA2F0F"/>
    <w:rsid w:val="00BA3114"/>
    <w:rsid w:val="00BB6402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214F"/>
    <w:rsid w:val="00C34469"/>
    <w:rsid w:val="00C37A43"/>
    <w:rsid w:val="00C5063A"/>
    <w:rsid w:val="00C612F4"/>
    <w:rsid w:val="00C645E4"/>
    <w:rsid w:val="00C80DEF"/>
    <w:rsid w:val="00C85B90"/>
    <w:rsid w:val="00C95BD6"/>
    <w:rsid w:val="00CA5FD2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67C1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C2234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A33D1"/>
    <w:rsid w:val="00EA7ACB"/>
    <w:rsid w:val="00EB5200"/>
    <w:rsid w:val="00EC5BAE"/>
    <w:rsid w:val="00ED1104"/>
    <w:rsid w:val="00ED3499"/>
    <w:rsid w:val="00EE47B4"/>
    <w:rsid w:val="00EF5A93"/>
    <w:rsid w:val="00F1718F"/>
    <w:rsid w:val="00F33849"/>
    <w:rsid w:val="00F354D4"/>
    <w:rsid w:val="00F379C5"/>
    <w:rsid w:val="00F43AEE"/>
    <w:rsid w:val="00F4430E"/>
    <w:rsid w:val="00F5265D"/>
    <w:rsid w:val="00F729FF"/>
    <w:rsid w:val="00F7465C"/>
    <w:rsid w:val="00F75349"/>
    <w:rsid w:val="00F836BD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DF996-00D7-4DDC-A062-8045E20D61B3}">
  <ds:schemaRefs>
    <ds:schemaRef ds:uri="cbe1e94d-575c-40b7-87c9-e57a80e073bc"/>
    <ds:schemaRef ds:uri="http://purl.org/dc/elements/1.1/"/>
    <ds:schemaRef ds:uri="http://schemas.microsoft.com/office/2006/metadata/properties"/>
    <ds:schemaRef ds:uri="http://purl.org/dc/terms/"/>
    <ds:schemaRef ds:uri="5da01898-ba06-4224-99c2-ad34469b9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E68E42-BEA0-4D33-857D-D8239764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4</cp:revision>
  <dcterms:created xsi:type="dcterms:W3CDTF">2022-02-01T16:39:00Z</dcterms:created>
  <dcterms:modified xsi:type="dcterms:W3CDTF">2022-02-04T20:45:00Z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