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3144D" w14:textId="19DCA99F" w:rsidR="00A221F4" w:rsidRDefault="001A062C">
      <w:pPr>
        <w:spacing w:after="0"/>
        <w:jc w:val="center"/>
        <w:rPr>
          <w:i/>
          <w:color w:val="000000"/>
          <w:highlight w:val="white"/>
        </w:rPr>
      </w:pPr>
      <w:r>
        <w:rPr>
          <w:b/>
          <w:color w:val="7030A0"/>
          <w:highlight w:val="white"/>
        </w:rPr>
        <w:t>Programmatic &amp; Academic Vitality Narratives</w:t>
      </w:r>
      <w:r>
        <w:rPr>
          <w:i/>
          <w:color w:val="000000"/>
          <w:highlight w:val="white"/>
        </w:rPr>
        <w:br/>
      </w:r>
    </w:p>
    <w:p w14:paraId="409E7F20" w14:textId="77777777" w:rsidR="00A221F4" w:rsidRDefault="001A062C">
      <w:pPr>
        <w:numPr>
          <w:ilvl w:val="0"/>
          <w:numId w:val="4"/>
        </w:numPr>
        <w:pBdr>
          <w:top w:val="nil"/>
          <w:left w:val="nil"/>
          <w:bottom w:val="nil"/>
          <w:right w:val="nil"/>
          <w:between w:val="nil"/>
        </w:pBdr>
        <w:spacing w:after="0"/>
        <w:rPr>
          <w:color w:val="000000"/>
          <w:highlight w:val="white"/>
        </w:rPr>
      </w:pPr>
      <w:r>
        <w:rPr>
          <w:color w:val="000000"/>
          <w:highlight w:val="white"/>
        </w:rPr>
        <w:t xml:space="preserve">As a result of the global COVID-19 pandemic, have you had to make substantive changes to your unit’s/campus’s strategic plan, budget/resourcing processes or programmatic offerings? Please briefly summarize and provide commentary on anticipated and/or realized impacts on the populations your unit/campus serves. </w:t>
      </w:r>
      <w:r>
        <w:rPr>
          <w:i/>
          <w:color w:val="5B9BD5"/>
          <w:sz w:val="20"/>
          <w:szCs w:val="20"/>
          <w:highlight w:val="white"/>
        </w:rPr>
        <w:t>Word Limit: 500</w:t>
      </w:r>
      <w:r>
        <w:rPr>
          <w:color w:val="000000"/>
          <w:highlight w:val="white"/>
        </w:rPr>
        <w:t xml:space="preserve"> </w:t>
      </w:r>
      <w:r>
        <w:rPr>
          <w:color w:val="000000"/>
          <w:highlight w:val="white"/>
        </w:rPr>
        <w:br/>
      </w:r>
    </w:p>
    <w:p w14:paraId="1B7FCE76" w14:textId="77777777" w:rsidR="00A221F4" w:rsidRDefault="001A062C">
      <w:pPr>
        <w:pBdr>
          <w:top w:val="nil"/>
          <w:left w:val="nil"/>
          <w:bottom w:val="nil"/>
          <w:right w:val="nil"/>
          <w:between w:val="nil"/>
        </w:pBdr>
        <w:spacing w:after="0"/>
        <w:ind w:left="720"/>
        <w:rPr>
          <w:highlight w:val="white"/>
        </w:rPr>
      </w:pPr>
      <w:r>
        <w:rPr>
          <w:highlight w:val="white"/>
        </w:rPr>
        <w:t>OGA has had to make substantial changes to our strategic plan, resources and programmatic offerings as a result of the COVID-19 pandemic:</w:t>
      </w:r>
    </w:p>
    <w:p w14:paraId="1120448F" w14:textId="77777777" w:rsidR="00A221F4" w:rsidRDefault="001A062C">
      <w:pPr>
        <w:numPr>
          <w:ilvl w:val="0"/>
          <w:numId w:val="12"/>
        </w:numPr>
        <w:pBdr>
          <w:top w:val="nil"/>
          <w:left w:val="nil"/>
          <w:bottom w:val="nil"/>
          <w:right w:val="nil"/>
          <w:between w:val="nil"/>
        </w:pBdr>
        <w:spacing w:after="0"/>
        <w:rPr>
          <w:highlight w:val="white"/>
        </w:rPr>
      </w:pPr>
      <w:r>
        <w:rPr>
          <w:highlight w:val="white"/>
        </w:rPr>
        <w:t>OGA’s strategic plan for the period 2019-2023 needed to be revised to reflect the major changes in the global education and research landscape. In mid-2020, we began rewriting our strategic plan, incorporating input from the Global Engagement Strategy Task Force, reimagining and strengthening our DEI strategy, and ensuring that our goals are achievable in light of the global pandemic. Our strategic planning group identified the following four priorities for the coming years:</w:t>
      </w:r>
    </w:p>
    <w:p w14:paraId="1DF2E490" w14:textId="77777777" w:rsidR="00A221F4" w:rsidRDefault="001A062C">
      <w:pPr>
        <w:numPr>
          <w:ilvl w:val="1"/>
          <w:numId w:val="12"/>
        </w:numPr>
        <w:pBdr>
          <w:top w:val="nil"/>
          <w:left w:val="nil"/>
          <w:bottom w:val="nil"/>
          <w:right w:val="nil"/>
          <w:between w:val="nil"/>
        </w:pBdr>
        <w:spacing w:after="0"/>
        <w:rPr>
          <w:highlight w:val="white"/>
        </w:rPr>
      </w:pPr>
      <w:r>
        <w:rPr>
          <w:highlight w:val="white"/>
        </w:rPr>
        <w:t>Priority 1: To advance diversity, equity, and inclusion by reducing barriers to global engagement for faculty and students and building community and connection around equity and ethical global engagement.</w:t>
      </w:r>
    </w:p>
    <w:p w14:paraId="0A372E26" w14:textId="77777777" w:rsidR="00A221F4" w:rsidRDefault="001A062C">
      <w:pPr>
        <w:numPr>
          <w:ilvl w:val="1"/>
          <w:numId w:val="12"/>
        </w:numPr>
        <w:pBdr>
          <w:top w:val="nil"/>
          <w:left w:val="nil"/>
          <w:bottom w:val="nil"/>
          <w:right w:val="nil"/>
          <w:between w:val="nil"/>
        </w:pBdr>
        <w:spacing w:after="0"/>
        <w:rPr>
          <w:highlight w:val="white"/>
        </w:rPr>
      </w:pPr>
      <w:r>
        <w:rPr>
          <w:highlight w:val="white"/>
        </w:rPr>
        <w:t>Priority 2: Innovating and Expanding Student Global Opportunities by (i) building a strong and sustainable pipeline to support and broaden student access to global education opportunities, and (ii) proactively developing programming that is scalable with regard to participants and meets the needs of our diverse student population.</w:t>
      </w:r>
    </w:p>
    <w:p w14:paraId="01F22660" w14:textId="77777777" w:rsidR="00A221F4" w:rsidRDefault="001A062C">
      <w:pPr>
        <w:numPr>
          <w:ilvl w:val="1"/>
          <w:numId w:val="12"/>
        </w:numPr>
        <w:pBdr>
          <w:top w:val="nil"/>
          <w:left w:val="nil"/>
          <w:bottom w:val="nil"/>
          <w:right w:val="nil"/>
          <w:between w:val="nil"/>
        </w:pBdr>
        <w:spacing w:after="0"/>
        <w:rPr>
          <w:highlight w:val="white"/>
        </w:rPr>
      </w:pPr>
      <w:r>
        <w:rPr>
          <w:highlight w:val="white"/>
        </w:rPr>
        <w:t>Priority 3: Catalyzing community global engagement by (i) convening faculty, staff, students, alumni and partners around strategic global themes and topics, (ii) advocating for the importance of global engagement to leaders across the UW,  and (iii)  building a global information hub and proactively creating awareness and connection to our information, data, resources, and services</w:t>
      </w:r>
    </w:p>
    <w:p w14:paraId="41B6D7B0" w14:textId="77777777" w:rsidR="00A221F4" w:rsidRDefault="001A062C">
      <w:pPr>
        <w:numPr>
          <w:ilvl w:val="1"/>
          <w:numId w:val="12"/>
        </w:numPr>
        <w:pBdr>
          <w:top w:val="nil"/>
          <w:left w:val="nil"/>
          <w:bottom w:val="nil"/>
          <w:right w:val="nil"/>
          <w:between w:val="nil"/>
        </w:pBdr>
        <w:spacing w:after="0"/>
        <w:rPr>
          <w:highlight w:val="white"/>
        </w:rPr>
      </w:pPr>
      <w:r>
        <w:rPr>
          <w:highlight w:val="white"/>
        </w:rPr>
        <w:t>Priority 4: Fostering an inclusive culture and collaborative team by advancing diversity, equity and inclusion and fostering a positive work environment.</w:t>
      </w:r>
    </w:p>
    <w:p w14:paraId="1E7D583A" w14:textId="77777777" w:rsidR="00A221F4" w:rsidRDefault="001A062C">
      <w:pPr>
        <w:numPr>
          <w:ilvl w:val="0"/>
          <w:numId w:val="12"/>
        </w:numPr>
        <w:pBdr>
          <w:top w:val="nil"/>
          <w:left w:val="nil"/>
          <w:bottom w:val="nil"/>
          <w:right w:val="nil"/>
          <w:between w:val="nil"/>
        </w:pBdr>
        <w:spacing w:after="0"/>
        <w:rPr>
          <w:highlight w:val="white"/>
        </w:rPr>
      </w:pPr>
      <w:r>
        <w:rPr>
          <w:highlight w:val="white"/>
        </w:rPr>
        <w:t xml:space="preserve">In FY21, we had a limited number of study abroad programs run, mostly virtual and local programs. In FY22, we began sending students overseas in Autumn Quarter on a very limited basis, and had a more robust return to study abroad in winter quarter with similar numbers of students abroad to pre-pandemic winter quarters. We are hoping that this may continue and have improved our study abroad outlook in our projection to 40% of FY19 numbers in FY22, 60% in FY 23 and 80% in FY24. However, we anticipate that it will not be until FY25 that there will be a full return to study abroad. </w:t>
      </w:r>
    </w:p>
    <w:p w14:paraId="49AE7905" w14:textId="77777777" w:rsidR="00A221F4" w:rsidRDefault="001A062C">
      <w:pPr>
        <w:numPr>
          <w:ilvl w:val="0"/>
          <w:numId w:val="12"/>
        </w:numPr>
        <w:pBdr>
          <w:top w:val="nil"/>
          <w:left w:val="nil"/>
          <w:bottom w:val="nil"/>
          <w:right w:val="nil"/>
          <w:between w:val="nil"/>
        </w:pBdr>
        <w:spacing w:after="0"/>
        <w:rPr>
          <w:highlight w:val="white"/>
        </w:rPr>
      </w:pPr>
      <w:r>
        <w:rPr>
          <w:highlight w:val="white"/>
        </w:rPr>
        <w:t>We are also hoping to more closely collaborate with advancement in the coming years to secure additional external funding for study abroad scholarships, the UW Rome Center, and global research and education projects for our faculty.</w:t>
      </w:r>
    </w:p>
    <w:p w14:paraId="45658763" w14:textId="77777777" w:rsidR="00A221F4" w:rsidRDefault="00A221F4">
      <w:pPr>
        <w:pBdr>
          <w:top w:val="nil"/>
          <w:left w:val="nil"/>
          <w:bottom w:val="nil"/>
          <w:right w:val="nil"/>
          <w:between w:val="nil"/>
        </w:pBdr>
        <w:spacing w:after="0"/>
        <w:ind w:left="720"/>
        <w:rPr>
          <w:color w:val="000000"/>
          <w:highlight w:val="white"/>
        </w:rPr>
      </w:pPr>
    </w:p>
    <w:p w14:paraId="6307C13F" w14:textId="77777777" w:rsidR="00A221F4" w:rsidRDefault="001A062C">
      <w:pPr>
        <w:numPr>
          <w:ilvl w:val="0"/>
          <w:numId w:val="4"/>
        </w:numPr>
        <w:pBdr>
          <w:top w:val="nil"/>
          <w:left w:val="nil"/>
          <w:bottom w:val="nil"/>
          <w:right w:val="nil"/>
          <w:between w:val="nil"/>
        </w:pBdr>
        <w:spacing w:after="0"/>
        <w:rPr>
          <w:color w:val="000000"/>
        </w:rPr>
      </w:pPr>
      <w:r>
        <w:rPr>
          <w:color w:val="000000"/>
        </w:rPr>
        <w:t xml:space="preserve">Please discuss your campus’s/unit’s ongoing work to support the themes and goals of the UW’s Diversity Blueprint. For example, you may wish to touch on (but are not limited to) areas such as: work stemming from the campus climate reports, education &amp; training, outreach, etc. In your response, include a qualitative summary of the resources your unit utilizes to support the Diversity Blueprint, how you assess impacts of your work, as well as your campus’s/unit’s future plans to continue resourcing this important work. </w:t>
      </w:r>
    </w:p>
    <w:p w14:paraId="3B8D7763" w14:textId="77777777" w:rsidR="00A221F4" w:rsidRDefault="00A221F4">
      <w:pPr>
        <w:pBdr>
          <w:top w:val="nil"/>
          <w:left w:val="nil"/>
          <w:bottom w:val="nil"/>
          <w:right w:val="nil"/>
          <w:between w:val="nil"/>
        </w:pBdr>
        <w:spacing w:after="0"/>
        <w:ind w:left="720"/>
      </w:pPr>
    </w:p>
    <w:p w14:paraId="3D29E137" w14:textId="77777777" w:rsidR="00A221F4" w:rsidRDefault="001A062C">
      <w:pPr>
        <w:pBdr>
          <w:top w:val="nil"/>
          <w:left w:val="nil"/>
          <w:bottom w:val="nil"/>
          <w:right w:val="nil"/>
          <w:between w:val="nil"/>
        </w:pBdr>
        <w:spacing w:after="0"/>
        <w:ind w:left="720"/>
        <w:rPr>
          <w:color w:val="000000"/>
        </w:rPr>
      </w:pPr>
      <w:r>
        <w:rPr>
          <w:i/>
          <w:color w:val="000000"/>
        </w:rPr>
        <w:t xml:space="preserve">Note, in future planning cycles, you will be asked to provide and reflect on quantifiable budgetary plans to further the UW’s DEI efforts. </w:t>
      </w:r>
      <w:r>
        <w:rPr>
          <w:i/>
          <w:color w:val="5B9BD5"/>
          <w:sz w:val="20"/>
          <w:szCs w:val="20"/>
        </w:rPr>
        <w:t>Word Limit: 750</w:t>
      </w:r>
    </w:p>
    <w:p w14:paraId="0AB1C311" w14:textId="77777777" w:rsidR="00A221F4" w:rsidRDefault="00A221F4">
      <w:pPr>
        <w:pBdr>
          <w:top w:val="nil"/>
          <w:left w:val="nil"/>
          <w:bottom w:val="nil"/>
          <w:right w:val="nil"/>
          <w:between w:val="nil"/>
        </w:pBdr>
        <w:spacing w:after="0"/>
        <w:ind w:left="720"/>
        <w:rPr>
          <w:color w:val="000000"/>
        </w:rPr>
      </w:pPr>
    </w:p>
    <w:p w14:paraId="60950C9C" w14:textId="77777777" w:rsidR="00A221F4" w:rsidRDefault="001A062C">
      <w:pPr>
        <w:spacing w:after="0"/>
        <w:rPr>
          <w:rFonts w:ascii="Times New Roman" w:eastAsia="Times New Roman" w:hAnsi="Times New Roman" w:cs="Times New Roman"/>
        </w:rPr>
      </w:pPr>
      <w:r>
        <w:rPr>
          <w:rFonts w:ascii="Times New Roman" w:eastAsia="Times New Roman" w:hAnsi="Times New Roman" w:cs="Times New Roman"/>
        </w:rPr>
        <w:t xml:space="preserve"> </w:t>
      </w:r>
    </w:p>
    <w:p w14:paraId="5111A7AB" w14:textId="77777777" w:rsidR="00A221F4" w:rsidRDefault="001A062C">
      <w:pPr>
        <w:spacing w:after="0"/>
        <w:ind w:left="1440"/>
      </w:pPr>
      <w:r>
        <w:t>The OGA has shifted its focus on what it means to be globally engaged in a way that confronts issues of racism and colonialism and is consistent with the UW’s overall approach to diversity, equity and inclusion. The OGA’s approach to diversity, equity, and inclusion focuses on eliminating functional barriers to global engagement in an attempt to reduce the harm done by the persistence of colonial practices (i.e. The OGA intends to work towards eliminating any internal barriers to the functioning of the unit and/or institution). To this end, the OGA is working toward reducing barriers to students, faculty, and staff by creating opportunities and spaces to connect, identifying and reducing functional barriers to global research and teaching, reimagining scholarship opportunities. These activities include:</w:t>
      </w:r>
    </w:p>
    <w:p w14:paraId="2D5A33A6" w14:textId="77777777" w:rsidR="00A221F4" w:rsidRDefault="001A062C">
      <w:pPr>
        <w:numPr>
          <w:ilvl w:val="0"/>
          <w:numId w:val="7"/>
        </w:numPr>
        <w:spacing w:after="0"/>
      </w:pPr>
      <w:r>
        <w:t>Establishing a new Senior Advisor for Global Faculty Engagement position to work toward reducing barriers to global research and teaching for BIPOC faculty;</w:t>
      </w:r>
    </w:p>
    <w:p w14:paraId="787C29B0" w14:textId="77777777" w:rsidR="00A221F4" w:rsidRDefault="001A062C">
      <w:pPr>
        <w:numPr>
          <w:ilvl w:val="0"/>
          <w:numId w:val="7"/>
        </w:numPr>
        <w:spacing w:after="0"/>
      </w:pPr>
      <w:r>
        <w:t>Supporting BIPOC faculty and students by building out domestic study away and study abroad programs; encouraging and supporting underrepresented faculty whose research and teaching practices aligns with OGA’s mission of equitable and ethical global engagement to develop and lead programs.</w:t>
      </w:r>
    </w:p>
    <w:p w14:paraId="4E584297" w14:textId="77777777" w:rsidR="00A221F4" w:rsidRDefault="001A062C">
      <w:pPr>
        <w:numPr>
          <w:ilvl w:val="0"/>
          <w:numId w:val="7"/>
        </w:numPr>
        <w:spacing w:after="0"/>
      </w:pPr>
      <w:r>
        <w:t>Reimagining the Global Innovation Fund program to increase financial support for faculty global engagement in research and teaching;</w:t>
      </w:r>
    </w:p>
    <w:p w14:paraId="2AFF8C39" w14:textId="77777777" w:rsidR="00A221F4" w:rsidRDefault="001A062C">
      <w:pPr>
        <w:numPr>
          <w:ilvl w:val="0"/>
          <w:numId w:val="7"/>
        </w:numPr>
        <w:spacing w:after="0"/>
      </w:pPr>
      <w:r>
        <w:t>Creating spaces to connect with campus partners by providing resources and workshops for faculty, staff, and students relating to relevant international issues;</w:t>
      </w:r>
    </w:p>
    <w:p w14:paraId="28B339BB" w14:textId="77777777" w:rsidR="00A221F4" w:rsidRDefault="001A062C">
      <w:pPr>
        <w:numPr>
          <w:ilvl w:val="0"/>
          <w:numId w:val="7"/>
        </w:numPr>
        <w:spacing w:after="0"/>
      </w:pPr>
      <w:r>
        <w:t>Fostering deeper exchange relationships with local, national, and international partners.</w:t>
      </w:r>
    </w:p>
    <w:p w14:paraId="1DF48840" w14:textId="55BA8EF9" w:rsidR="00A221F4" w:rsidRPr="0084116D" w:rsidRDefault="00A221F4" w:rsidP="0084116D">
      <w:pPr>
        <w:spacing w:after="0"/>
        <w:rPr>
          <w:b/>
          <w:color w:val="7030A0"/>
          <w:highlight w:val="white"/>
        </w:rPr>
      </w:pPr>
    </w:p>
    <w:sectPr w:rsidR="00A221F4" w:rsidRPr="0084116D">
      <w:headerReference w:type="even" r:id="rId11"/>
      <w:headerReference w:type="default" r:id="rId12"/>
      <w:footerReference w:type="default" r:id="rId13"/>
      <w:headerReference w:type="first" r:id="rId14"/>
      <w:pgSz w:w="12240" w:h="15840"/>
      <w:pgMar w:top="720" w:right="720" w:bottom="540" w:left="720" w:header="18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520559" w14:textId="77777777" w:rsidR="000D7516" w:rsidRDefault="001A062C">
      <w:pPr>
        <w:spacing w:after="0" w:line="240" w:lineRule="auto"/>
      </w:pPr>
      <w:r>
        <w:separator/>
      </w:r>
    </w:p>
  </w:endnote>
  <w:endnote w:type="continuationSeparator" w:id="0">
    <w:p w14:paraId="32F01998" w14:textId="77777777" w:rsidR="000D7516" w:rsidRDefault="001A0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F4AC0" w14:textId="77777777" w:rsidR="00A221F4" w:rsidRDefault="00A221F4">
    <w:pPr>
      <w:widowControl w:val="0"/>
      <w:pBdr>
        <w:top w:val="nil"/>
        <w:left w:val="nil"/>
        <w:bottom w:val="nil"/>
        <w:right w:val="nil"/>
        <w:between w:val="nil"/>
      </w:pBdr>
      <w:spacing w:after="0" w:line="276" w:lineRule="auto"/>
      <w:rPr>
        <w:color w:val="000000"/>
      </w:rPr>
    </w:pPr>
  </w:p>
  <w:tbl>
    <w:tblPr>
      <w:tblStyle w:val="a"/>
      <w:tblW w:w="10800" w:type="dxa"/>
      <w:tblLayout w:type="fixed"/>
      <w:tblLook w:val="0600" w:firstRow="0" w:lastRow="0" w:firstColumn="0" w:lastColumn="0" w:noHBand="1" w:noVBand="1"/>
    </w:tblPr>
    <w:tblGrid>
      <w:gridCol w:w="3600"/>
      <w:gridCol w:w="3600"/>
      <w:gridCol w:w="3600"/>
    </w:tblGrid>
    <w:tr w:rsidR="00A221F4" w14:paraId="1EE6BACC" w14:textId="77777777">
      <w:tc>
        <w:tcPr>
          <w:tcW w:w="3600" w:type="dxa"/>
        </w:tcPr>
        <w:p w14:paraId="2183930D" w14:textId="77777777" w:rsidR="00A221F4" w:rsidRDefault="00A221F4">
          <w:pPr>
            <w:pBdr>
              <w:top w:val="nil"/>
              <w:left w:val="nil"/>
              <w:bottom w:val="nil"/>
              <w:right w:val="nil"/>
              <w:between w:val="nil"/>
            </w:pBdr>
            <w:tabs>
              <w:tab w:val="center" w:pos="4680"/>
              <w:tab w:val="right" w:pos="9360"/>
            </w:tabs>
            <w:spacing w:after="0" w:line="240" w:lineRule="auto"/>
            <w:ind w:left="-115"/>
            <w:rPr>
              <w:color w:val="000000"/>
            </w:rPr>
          </w:pPr>
        </w:p>
      </w:tc>
      <w:tc>
        <w:tcPr>
          <w:tcW w:w="3600" w:type="dxa"/>
        </w:tcPr>
        <w:p w14:paraId="4FAD1165" w14:textId="77777777" w:rsidR="00A221F4" w:rsidRDefault="00A221F4">
          <w:pPr>
            <w:pBdr>
              <w:top w:val="nil"/>
              <w:left w:val="nil"/>
              <w:bottom w:val="nil"/>
              <w:right w:val="nil"/>
              <w:between w:val="nil"/>
            </w:pBdr>
            <w:tabs>
              <w:tab w:val="center" w:pos="4680"/>
              <w:tab w:val="right" w:pos="9360"/>
            </w:tabs>
            <w:spacing w:after="0" w:line="240" w:lineRule="auto"/>
            <w:jc w:val="center"/>
            <w:rPr>
              <w:color w:val="000000"/>
            </w:rPr>
          </w:pPr>
        </w:p>
      </w:tc>
      <w:tc>
        <w:tcPr>
          <w:tcW w:w="3600" w:type="dxa"/>
        </w:tcPr>
        <w:p w14:paraId="3D8127F5" w14:textId="77777777" w:rsidR="00A221F4" w:rsidRDefault="00A221F4">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1498E0F4" w14:textId="77777777" w:rsidR="00A221F4" w:rsidRDefault="001A062C">
    <w:pPr>
      <w:pBdr>
        <w:top w:val="nil"/>
        <w:left w:val="nil"/>
        <w:bottom w:val="nil"/>
        <w:right w:val="nil"/>
        <w:between w:val="nil"/>
      </w:pBdr>
      <w:tabs>
        <w:tab w:val="center" w:pos="4680"/>
        <w:tab w:val="right" w:pos="9360"/>
        <w:tab w:val="left" w:pos="7635"/>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D5620" w14:textId="77777777" w:rsidR="000D7516" w:rsidRDefault="001A062C">
      <w:pPr>
        <w:spacing w:after="0" w:line="240" w:lineRule="auto"/>
      </w:pPr>
      <w:r>
        <w:separator/>
      </w:r>
    </w:p>
  </w:footnote>
  <w:footnote w:type="continuationSeparator" w:id="0">
    <w:p w14:paraId="2134F36E" w14:textId="77777777" w:rsidR="000D7516" w:rsidRDefault="001A0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B45F1" w14:textId="77777777" w:rsidR="00A221F4" w:rsidRDefault="00A221F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DC04A" w14:textId="77777777" w:rsidR="00A221F4" w:rsidRDefault="001A062C">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25133E20" wp14:editId="6E431309">
          <wp:extent cx="2654490" cy="541283"/>
          <wp:effectExtent l="0" t="0" r="0" b="0"/>
          <wp:docPr id="5" name="image1.png" descr="C:\Users\jasonc26\AppData\Local\Microsoft\Windows\INetCache\Content.Word\Signature_Center_Purple_Hex.png"/>
          <wp:cNvGraphicFramePr/>
          <a:graphic xmlns:a="http://schemas.openxmlformats.org/drawingml/2006/main">
            <a:graphicData uri="http://schemas.openxmlformats.org/drawingml/2006/picture">
              <pic:pic xmlns:pic="http://schemas.openxmlformats.org/drawingml/2006/picture">
                <pic:nvPicPr>
                  <pic:cNvPr id="0" name="image1.png" descr="C:\Users\jasonc26\AppData\Local\Microsoft\Windows\INetCache\Content.Word\Signature_Center_Purple_Hex.png"/>
                  <pic:cNvPicPr preferRelativeResize="0"/>
                </pic:nvPicPr>
                <pic:blipFill>
                  <a:blip r:embed="rId1"/>
                  <a:srcRect/>
                  <a:stretch>
                    <a:fillRect/>
                  </a:stretch>
                </pic:blipFill>
                <pic:spPr>
                  <a:xfrm>
                    <a:off x="0" y="0"/>
                    <a:ext cx="2654490" cy="541283"/>
                  </a:xfrm>
                  <a:prstGeom prst="rect">
                    <a:avLst/>
                  </a:prstGeom>
                  <a:ln/>
                </pic:spPr>
              </pic:pic>
            </a:graphicData>
          </a:graphic>
        </wp:inline>
      </w:drawing>
    </w:r>
  </w:p>
  <w:p w14:paraId="7ED6B524" w14:textId="77777777" w:rsidR="00A221F4" w:rsidRDefault="001A062C">
    <w:pPr>
      <w:pBdr>
        <w:top w:val="nil"/>
        <w:left w:val="nil"/>
        <w:bottom w:val="nil"/>
        <w:right w:val="nil"/>
        <w:between w:val="nil"/>
      </w:pBdr>
      <w:tabs>
        <w:tab w:val="center" w:pos="4680"/>
        <w:tab w:val="right" w:pos="9360"/>
      </w:tabs>
      <w:spacing w:after="0" w:line="360" w:lineRule="auto"/>
      <w:jc w:val="center"/>
      <w:rPr>
        <w:color w:val="000000"/>
        <w:sz w:val="24"/>
        <w:szCs w:val="24"/>
      </w:rPr>
    </w:pPr>
    <w:r>
      <w:rPr>
        <w:color w:val="000000"/>
        <w:sz w:val="24"/>
        <w:szCs w:val="24"/>
      </w:rPr>
      <w:t>FY2023 Annual Review Narrative Survey</w:t>
    </w:r>
    <w:r>
      <w:rPr>
        <w:color w:val="000000"/>
        <w:sz w:val="24"/>
        <w:szCs w:val="24"/>
      </w:rPr>
      <w:br/>
    </w:r>
    <w:r>
      <w:rPr>
        <w:b/>
        <w:color w:val="000000"/>
        <w:sz w:val="24"/>
        <w:szCs w:val="24"/>
      </w:rPr>
      <w:t>Submission For:</w:t>
    </w:r>
    <w:r>
      <w:rPr>
        <w:b/>
        <w:sz w:val="24"/>
        <w:szCs w:val="24"/>
      </w:rPr>
      <w:t xml:space="preserve"> Office of Global Affairs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B43FA" w14:textId="77777777" w:rsidR="00A221F4" w:rsidRDefault="00A221F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27E72"/>
    <w:multiLevelType w:val="multilevel"/>
    <w:tmpl w:val="5FFA8642"/>
    <w:lvl w:ilvl="0">
      <w:start w:val="1"/>
      <w:numFmt w:val="decimal"/>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BD4B67"/>
    <w:multiLevelType w:val="multilevel"/>
    <w:tmpl w:val="F0047A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79F72C5"/>
    <w:multiLevelType w:val="multilevel"/>
    <w:tmpl w:val="7EDE749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364BCA"/>
    <w:multiLevelType w:val="multilevel"/>
    <w:tmpl w:val="7CE01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67032C"/>
    <w:multiLevelType w:val="multilevel"/>
    <w:tmpl w:val="C720C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7E5DFD"/>
    <w:multiLevelType w:val="multilevel"/>
    <w:tmpl w:val="D91A3F1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57D4489"/>
    <w:multiLevelType w:val="multilevel"/>
    <w:tmpl w:val="F37A31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6C2002D"/>
    <w:multiLevelType w:val="multilevel"/>
    <w:tmpl w:val="BF5E0E6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8F301C"/>
    <w:multiLevelType w:val="multilevel"/>
    <w:tmpl w:val="DF28A5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9FA39BE"/>
    <w:multiLevelType w:val="multilevel"/>
    <w:tmpl w:val="B6AA173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73AD13B7"/>
    <w:multiLevelType w:val="multilevel"/>
    <w:tmpl w:val="18BC4390"/>
    <w:lvl w:ilvl="0">
      <w:start w:val="1"/>
      <w:numFmt w:val="decimal"/>
      <w:lvlText w:val="%1)"/>
      <w:lvlJc w:val="left"/>
      <w:pPr>
        <w:ind w:left="720" w:hanging="360"/>
      </w:pPr>
      <w:rPr>
        <w:b/>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74901E3"/>
    <w:multiLevelType w:val="multilevel"/>
    <w:tmpl w:val="37F055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93E7F73"/>
    <w:multiLevelType w:val="multilevel"/>
    <w:tmpl w:val="8700732E"/>
    <w:lvl w:ilvl="0">
      <w:start w:val="1"/>
      <w:numFmt w:val="decimal"/>
      <w:lvlText w:val="%1)"/>
      <w:lvlJc w:val="left"/>
      <w:pPr>
        <w:ind w:left="720" w:hanging="360"/>
      </w:pPr>
      <w:rPr>
        <w:b/>
        <w:sz w:val="20"/>
        <w:szCs w:val="20"/>
      </w:rPr>
    </w:lvl>
    <w:lvl w:ilvl="1">
      <w:start w:val="1"/>
      <w:numFmt w:val="lowerLetter"/>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10"/>
  </w:num>
  <w:num w:numId="3">
    <w:abstractNumId w:val="3"/>
  </w:num>
  <w:num w:numId="4">
    <w:abstractNumId w:val="7"/>
  </w:num>
  <w:num w:numId="5">
    <w:abstractNumId w:val="5"/>
  </w:num>
  <w:num w:numId="6">
    <w:abstractNumId w:val="6"/>
  </w:num>
  <w:num w:numId="7">
    <w:abstractNumId w:val="9"/>
  </w:num>
  <w:num w:numId="8">
    <w:abstractNumId w:val="11"/>
  </w:num>
  <w:num w:numId="9">
    <w:abstractNumId w:val="0"/>
  </w:num>
  <w:num w:numId="10">
    <w:abstractNumId w:val="2"/>
  </w:num>
  <w:num w:numId="11">
    <w:abstractNumId w:val="1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1F4"/>
    <w:rsid w:val="00076389"/>
    <w:rsid w:val="000D7516"/>
    <w:rsid w:val="001A062C"/>
    <w:rsid w:val="0084116D"/>
    <w:rsid w:val="00A22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AFF3"/>
  <w15:docId w15:val="{ED1C0CAC-30EF-415F-8330-65C36098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gWVQ6+rTJISN6P0W7lW523D0ktyQ==">AMUW2mUcEMT65silVDE3I9Jjiwwd4pJN89VZHzCxaSKfppnmL+KXL36pn3xXP4T5mzDiwAs19gsMEHuqEr3LMl3uP3PDkUWjjiM0a73Nqxl7VdFL7V2Y/bSL1BMOlooJTgq4eC5lv2f983nJelHWwyD1wUMqZiI/FIglSpHYNCLs61Z5vM755EZPYI8ql7bHw4bbqB0FRoSPUQiFr4ozvnO2fBacwC2GYMBHNfPn6KkLDAUFLMKCoduF9kgTjCUD6NW7MBs026UzUUqUuASQt5K1Aitl85ygym49vC8YzqzekowEPc/2eBo6+rO+muFe60NydKxna6U0WDl6vZ9hu8Lb7EPYvKq9JCWIf96IapR56O+sOJw9j2k=</go:docsCustomData>
</go:gDocsCustomXmlDataStorage>
</file>

<file path=customXml/itemProps1.xml><?xml version="1.0" encoding="utf-8"?>
<ds:datastoreItem xmlns:ds="http://schemas.openxmlformats.org/officeDocument/2006/customXml" ds:itemID="{90FE2BC9-12F1-4CD6-A790-2BB8BC044B02}">
  <ds:schemaRefs>
    <ds:schemaRef ds:uri="http://schemas.microsoft.com/office/2006/documentManagement/types"/>
    <ds:schemaRef ds:uri="http://purl.org/dc/terms/"/>
    <ds:schemaRef ds:uri="c1a83888-0eff-48a8-bf13-bfcaca0fd412"/>
    <ds:schemaRef ds:uri="http://purl.org/dc/dcmitype/"/>
    <ds:schemaRef ds:uri="http://schemas.microsoft.com/office/infopath/2007/PartnerControls"/>
    <ds:schemaRef ds:uri="47ef78cf-74c7-4496-b00d-dbae5df454af"/>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641AF23-5420-4FED-9E03-0BC46DD51C46}">
  <ds:schemaRefs>
    <ds:schemaRef ds:uri="http://schemas.microsoft.com/sharepoint/v3/contenttype/forms"/>
  </ds:schemaRefs>
</ds:datastoreItem>
</file>

<file path=customXml/itemProps3.xml><?xml version="1.0" encoding="utf-8"?>
<ds:datastoreItem xmlns:ds="http://schemas.openxmlformats.org/officeDocument/2006/customXml" ds:itemID="{87233DD0-FCED-494B-B992-676C05271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Campbell</dc:creator>
  <cp:lastModifiedBy>Jason Campbell</cp:lastModifiedBy>
  <cp:revision>4</cp:revision>
  <dcterms:created xsi:type="dcterms:W3CDTF">2022-01-27T17:37:00Z</dcterms:created>
  <dcterms:modified xsi:type="dcterms:W3CDTF">2022-02-04T20:44:00Z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