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2085BC7B"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DA2A0B">
        <w:br/>
      </w:r>
    </w:p>
    <w:p w14:paraId="11C69069" w14:textId="4D06A5B5"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0C852CE7" w14:textId="77777777" w:rsidR="005A6FEB" w:rsidRPr="00F3307B" w:rsidRDefault="005A6FEB" w:rsidP="005A6FEB">
      <w:pPr>
        <w:pStyle w:val="ListParagraph"/>
        <w:rPr>
          <w:rFonts w:cstheme="minorHAnsi"/>
          <w:iCs/>
          <w:color w:val="1F4E79" w:themeColor="accent1" w:themeShade="80"/>
          <w:shd w:val="clear" w:color="auto" w:fill="FFFFFF"/>
        </w:rPr>
      </w:pPr>
      <w:r>
        <w:rPr>
          <w:rFonts w:cstheme="minorHAnsi"/>
          <w:bCs/>
          <w:iCs/>
          <w:color w:val="1F4E79" w:themeColor="accent1" w:themeShade="80"/>
          <w:shd w:val="clear" w:color="auto" w:fill="FFFFFF"/>
        </w:rPr>
        <w:t xml:space="preserve">UWHR adopted a new strategic plan in 2020 that included </w:t>
      </w:r>
      <w:r w:rsidRPr="00CA60FB">
        <w:rPr>
          <w:rFonts w:cstheme="minorHAnsi"/>
          <w:b/>
          <w:bCs/>
          <w:iCs/>
          <w:color w:val="1F4E79" w:themeColor="accent1" w:themeShade="80"/>
          <w:shd w:val="clear" w:color="auto" w:fill="FFFFFF"/>
        </w:rPr>
        <w:t>providing responsive policies and programs needed to navigate the challenges resulting from the COVID-19 pandemic.</w:t>
      </w:r>
      <w:r>
        <w:rPr>
          <w:rFonts w:cstheme="minorHAnsi"/>
          <w:b/>
          <w:bCs/>
          <w:iCs/>
          <w:color w:val="1F4E79" w:themeColor="accent1" w:themeShade="80"/>
          <w:shd w:val="clear" w:color="auto" w:fill="FFFFFF"/>
        </w:rPr>
        <w:t xml:space="preserve"> </w:t>
      </w:r>
      <w:r>
        <w:rPr>
          <w:rFonts w:cstheme="minorHAnsi"/>
          <w:iCs/>
          <w:color w:val="1F4E79" w:themeColor="accent1" w:themeShade="80"/>
          <w:shd w:val="clear" w:color="auto" w:fill="FFFFFF"/>
        </w:rPr>
        <w:t>So, while we haven’t had to change our strategy, p</w:t>
      </w:r>
      <w:r w:rsidRPr="00F3307B">
        <w:rPr>
          <w:rFonts w:cstheme="minorHAnsi"/>
          <w:iCs/>
          <w:color w:val="1F4E79" w:themeColor="accent1" w:themeShade="80"/>
          <w:shd w:val="clear" w:color="auto" w:fill="FFFFFF"/>
        </w:rPr>
        <w:t xml:space="preserve">andemic response along with the associated staffing crisis has changed our team’s priorities and budget. </w:t>
      </w:r>
    </w:p>
    <w:p w14:paraId="6C185EA0" w14:textId="77777777" w:rsidR="005A6FEB" w:rsidRPr="00F3307B" w:rsidRDefault="005A6FEB" w:rsidP="005A6FEB">
      <w:pPr>
        <w:pStyle w:val="ListParagraph"/>
        <w:rPr>
          <w:rFonts w:cstheme="minorHAnsi"/>
          <w:iCs/>
          <w:color w:val="1F4E79" w:themeColor="accent1" w:themeShade="80"/>
          <w:shd w:val="clear" w:color="auto" w:fill="FFFFFF"/>
        </w:rPr>
      </w:pPr>
    </w:p>
    <w:p w14:paraId="7DF30F9D" w14:textId="77777777" w:rsidR="005A6FEB" w:rsidRPr="00F3307B" w:rsidRDefault="005A6FEB" w:rsidP="005A6FEB">
      <w:pPr>
        <w:pStyle w:val="ListParagraph"/>
        <w:rPr>
          <w:rFonts w:cstheme="minorHAnsi"/>
          <w:iCs/>
          <w:color w:val="1F4E79" w:themeColor="accent1" w:themeShade="80"/>
          <w:shd w:val="clear" w:color="auto" w:fill="FFFFFF"/>
        </w:rPr>
      </w:pPr>
      <w:r w:rsidRPr="00F3307B">
        <w:rPr>
          <w:rFonts w:cstheme="minorHAnsi"/>
          <w:iCs/>
          <w:color w:val="1F4E79" w:themeColor="accent1" w:themeShade="80"/>
          <w:shd w:val="clear" w:color="auto" w:fill="FFFFFF"/>
        </w:rPr>
        <w:t xml:space="preserve">Every </w:t>
      </w:r>
      <w:r>
        <w:rPr>
          <w:rFonts w:cstheme="minorHAnsi"/>
          <w:iCs/>
          <w:color w:val="1F4E79" w:themeColor="accent1" w:themeShade="80"/>
          <w:shd w:val="clear" w:color="auto" w:fill="FFFFFF"/>
        </w:rPr>
        <w:t xml:space="preserve">UWHR </w:t>
      </w:r>
      <w:r w:rsidRPr="00F3307B">
        <w:rPr>
          <w:rFonts w:cstheme="minorHAnsi"/>
          <w:iCs/>
          <w:color w:val="1F4E79" w:themeColor="accent1" w:themeShade="80"/>
          <w:shd w:val="clear" w:color="auto" w:fill="FFFFFF"/>
        </w:rPr>
        <w:t xml:space="preserve">position has been called upon to increase their workload and I am immensely proud of how this small team has shown up for the institution. </w:t>
      </w:r>
      <w:r>
        <w:rPr>
          <w:rFonts w:cstheme="minorHAnsi"/>
          <w:iCs/>
          <w:color w:val="1F4E79" w:themeColor="accent1" w:themeShade="80"/>
          <w:shd w:val="clear" w:color="auto" w:fill="FFFFFF"/>
        </w:rPr>
        <w:t>Unfortunately</w:t>
      </w:r>
      <w:r w:rsidRPr="00F3307B">
        <w:rPr>
          <w:rFonts w:cstheme="minorHAnsi"/>
          <w:iCs/>
          <w:color w:val="1F4E79" w:themeColor="accent1" w:themeShade="80"/>
          <w:shd w:val="clear" w:color="auto" w:fill="FFFFFF"/>
        </w:rPr>
        <w:t>, UWHR is now losing staff to burnout or to better offers with pay that is between 20 – 50% higher</w:t>
      </w:r>
      <w:r>
        <w:rPr>
          <w:rFonts w:cstheme="minorHAnsi"/>
          <w:iCs/>
          <w:color w:val="1F4E79" w:themeColor="accent1" w:themeShade="80"/>
          <w:shd w:val="clear" w:color="auto" w:fill="FFFFFF"/>
        </w:rPr>
        <w:t>.</w:t>
      </w:r>
    </w:p>
    <w:p w14:paraId="70AB0506" w14:textId="77777777" w:rsidR="005A6FEB" w:rsidRPr="00F3307B" w:rsidRDefault="005A6FEB" w:rsidP="005A6FEB">
      <w:pPr>
        <w:pStyle w:val="ListParagraph"/>
        <w:rPr>
          <w:rFonts w:cstheme="minorHAnsi"/>
          <w:iCs/>
          <w:color w:val="1F4E79" w:themeColor="accent1" w:themeShade="80"/>
          <w:shd w:val="clear" w:color="auto" w:fill="FFFFFF"/>
        </w:rPr>
      </w:pPr>
    </w:p>
    <w:p w14:paraId="6BECB548" w14:textId="76C721CC" w:rsidR="005A6FEB" w:rsidRDefault="005A6FEB" w:rsidP="00A0237C">
      <w:pPr>
        <w:pStyle w:val="ListParagraph"/>
        <w:spacing w:line="240" w:lineRule="auto"/>
        <w:rPr>
          <w:rFonts w:cstheme="minorHAnsi"/>
          <w:iCs/>
          <w:color w:val="1F4E79" w:themeColor="accent1" w:themeShade="80"/>
          <w:shd w:val="clear" w:color="auto" w:fill="FFFFFF"/>
        </w:rPr>
      </w:pPr>
      <w:r w:rsidRPr="00F3307B">
        <w:rPr>
          <w:rFonts w:cstheme="minorHAnsi"/>
          <w:iCs/>
          <w:color w:val="1F4E79" w:themeColor="accent1" w:themeShade="80"/>
          <w:shd w:val="clear" w:color="auto" w:fill="FFFFFF"/>
        </w:rPr>
        <w:t xml:space="preserve">UWHR has had to assume significant </w:t>
      </w:r>
      <w:r w:rsidRPr="00F3307B">
        <w:rPr>
          <w:rFonts w:cstheme="minorHAnsi"/>
          <w:b/>
          <w:bCs/>
          <w:iCs/>
          <w:color w:val="1F4E79" w:themeColor="accent1" w:themeShade="80"/>
          <w:shd w:val="clear" w:color="auto" w:fill="FFFFFF"/>
        </w:rPr>
        <w:t>new and ongoing</w:t>
      </w:r>
      <w:r w:rsidRPr="00F3307B">
        <w:rPr>
          <w:rFonts w:cstheme="minorHAnsi"/>
          <w:iCs/>
          <w:color w:val="1F4E79" w:themeColor="accent1" w:themeShade="80"/>
          <w:shd w:val="clear" w:color="auto" w:fill="FFFFFF"/>
        </w:rPr>
        <w:t xml:space="preserve"> responsibilities during this</w:t>
      </w:r>
      <w:r w:rsidR="00564030">
        <w:rPr>
          <w:rFonts w:cstheme="minorHAnsi"/>
          <w:iCs/>
          <w:color w:val="1F4E79" w:themeColor="accent1" w:themeShade="80"/>
          <w:shd w:val="clear" w:color="auto" w:fill="FFFFFF"/>
        </w:rPr>
        <w:t xml:space="preserve"> time</w:t>
      </w:r>
      <w:r>
        <w:rPr>
          <w:rFonts w:cstheme="minorHAnsi"/>
          <w:iCs/>
          <w:color w:val="1F4E79" w:themeColor="accent1" w:themeShade="80"/>
          <w:shd w:val="clear" w:color="auto" w:fill="FFFFFF"/>
        </w:rPr>
        <w:t>:</w:t>
      </w:r>
      <w:r w:rsidRPr="00F3307B">
        <w:rPr>
          <w:rFonts w:cstheme="minorHAnsi"/>
          <w:iCs/>
          <w:color w:val="1F4E79" w:themeColor="accent1" w:themeShade="80"/>
          <w:shd w:val="clear" w:color="auto" w:fill="FFFFFF"/>
        </w:rPr>
        <w:t xml:space="preserve"> </w:t>
      </w:r>
    </w:p>
    <w:p w14:paraId="0ED1BDF7" w14:textId="77777777" w:rsidR="00A0237C" w:rsidRPr="009239AE" w:rsidRDefault="00A0237C" w:rsidP="00A0237C">
      <w:pPr>
        <w:pStyle w:val="ListParagraph"/>
        <w:spacing w:after="0" w:line="240" w:lineRule="auto"/>
        <w:rPr>
          <w:rFonts w:cstheme="minorHAnsi"/>
          <w:iCs/>
          <w:color w:val="1F4E79" w:themeColor="accent1" w:themeShade="80"/>
          <w:shd w:val="clear" w:color="auto" w:fill="FFFFFF"/>
        </w:rPr>
      </w:pPr>
    </w:p>
    <w:p w14:paraId="72F37FF7" w14:textId="77777777" w:rsidR="005A6FEB" w:rsidRDefault="005A6FEB" w:rsidP="00A0237C">
      <w:pPr>
        <w:spacing w:after="0" w:line="240" w:lineRule="auto"/>
        <w:ind w:left="720"/>
        <w:rPr>
          <w:rFonts w:cstheme="minorHAnsi"/>
          <w:b/>
          <w:bCs/>
          <w:iCs/>
          <w:color w:val="1F4E79" w:themeColor="accent1" w:themeShade="80"/>
          <w:shd w:val="clear" w:color="auto" w:fill="FFFFFF"/>
        </w:rPr>
      </w:pPr>
      <w:r>
        <w:rPr>
          <w:rFonts w:cstheme="minorHAnsi"/>
          <w:b/>
          <w:bCs/>
          <w:iCs/>
          <w:color w:val="1F4E79" w:themeColor="accent1" w:themeShade="80"/>
          <w:shd w:val="clear" w:color="auto" w:fill="FFFFFF"/>
        </w:rPr>
        <w:t>INCREASED UNIONIZATION</w:t>
      </w:r>
    </w:p>
    <w:p w14:paraId="02812DD5" w14:textId="77777777" w:rsidR="005A6FEB" w:rsidRPr="00025AEC" w:rsidRDefault="005A6FEB" w:rsidP="00025AEC">
      <w:pPr>
        <w:pStyle w:val="ListParagraph"/>
        <w:numPr>
          <w:ilvl w:val="0"/>
          <w:numId w:val="23"/>
        </w:numPr>
        <w:spacing w:after="0" w:line="240" w:lineRule="auto"/>
        <w:ind w:left="1440"/>
        <w:contextualSpacing w:val="0"/>
        <w:rPr>
          <w:rFonts w:ascii="Calibri" w:hAnsi="Calibri" w:cs="Calibri"/>
          <w:color w:val="1F4E79" w:themeColor="accent1" w:themeShade="80"/>
        </w:rPr>
      </w:pPr>
      <w:r w:rsidRPr="00025AEC">
        <w:rPr>
          <w:rFonts w:ascii="Calibri" w:hAnsi="Calibri" w:cs="Calibri"/>
          <w:color w:val="1F4E79" w:themeColor="accent1" w:themeShade="80"/>
        </w:rPr>
        <w:t>New unionization by librarians, research assistants and research scientists/engineers bring significant one-time effort (often lasting 6 months or more) to Labor Relations and Compensation beginning with the PERC petition and continuing through to bargaining the first contract and manager training. Downstream unionization brings new work to employee relations, HRIS, policy and recruitment.</w:t>
      </w:r>
    </w:p>
    <w:p w14:paraId="30C7E4AD" w14:textId="77777777" w:rsidR="005A6FEB" w:rsidRPr="009239AE" w:rsidRDefault="005A6FEB" w:rsidP="005A6FEB">
      <w:pPr>
        <w:pStyle w:val="ListParagraph"/>
        <w:spacing w:after="0" w:line="240" w:lineRule="auto"/>
        <w:ind w:left="1440"/>
        <w:rPr>
          <w:rFonts w:ascii="Calibri" w:eastAsia="Times New Roman" w:hAnsi="Calibri" w:cs="Calibri"/>
          <w:color w:val="000000"/>
        </w:rPr>
      </w:pPr>
    </w:p>
    <w:p w14:paraId="7F9C7F56" w14:textId="77777777" w:rsidR="005A6FEB" w:rsidRPr="00F3307B" w:rsidRDefault="005A6FEB" w:rsidP="005A6FEB">
      <w:pPr>
        <w:spacing w:after="0" w:line="240" w:lineRule="auto"/>
        <w:ind w:left="720"/>
        <w:rPr>
          <w:rFonts w:cstheme="minorHAnsi"/>
          <w:b/>
          <w:bCs/>
          <w:iCs/>
          <w:color w:val="1F4E79" w:themeColor="accent1" w:themeShade="80"/>
          <w:shd w:val="clear" w:color="auto" w:fill="FFFFFF"/>
        </w:rPr>
      </w:pPr>
      <w:r w:rsidRPr="00F3307B">
        <w:rPr>
          <w:rFonts w:cstheme="minorHAnsi"/>
          <w:b/>
          <w:bCs/>
          <w:iCs/>
          <w:color w:val="1F4E79" w:themeColor="accent1" w:themeShade="80"/>
          <w:shd w:val="clear" w:color="auto" w:fill="FFFFFF"/>
        </w:rPr>
        <w:t>LEGISLATIVE MANDATES</w:t>
      </w:r>
    </w:p>
    <w:p w14:paraId="31CE09D1" w14:textId="77777777" w:rsidR="005A6FEB" w:rsidRPr="00F3307B" w:rsidRDefault="005A6FEB" w:rsidP="005A6FEB">
      <w:pPr>
        <w:pStyle w:val="ListParagraph"/>
        <w:numPr>
          <w:ilvl w:val="0"/>
          <w:numId w:val="23"/>
        </w:numPr>
        <w:spacing w:after="0" w:line="240" w:lineRule="auto"/>
        <w:ind w:left="1440"/>
        <w:contextualSpacing w:val="0"/>
        <w:rPr>
          <w:rFonts w:ascii="Calibri" w:hAnsi="Calibri" w:cs="Calibri"/>
          <w:color w:val="1F4E79" w:themeColor="accent1" w:themeShade="80"/>
        </w:rPr>
      </w:pPr>
      <w:r w:rsidRPr="00F3307B">
        <w:rPr>
          <w:rFonts w:ascii="Calibri" w:hAnsi="Calibri" w:cs="Calibri"/>
          <w:color w:val="1F4E79" w:themeColor="accent1" w:themeShade="80"/>
        </w:rPr>
        <w:t>Implementation of HB2669</w:t>
      </w:r>
      <w:r>
        <w:rPr>
          <w:rFonts w:ascii="Calibri" w:hAnsi="Calibri" w:cs="Calibri"/>
          <w:color w:val="1F4E79" w:themeColor="accent1" w:themeShade="80"/>
        </w:rPr>
        <w:t xml:space="preserve"> </w:t>
      </w:r>
      <w:r w:rsidRPr="00F3307B">
        <w:rPr>
          <w:rFonts w:ascii="Calibri" w:hAnsi="Calibri" w:cs="Calibri"/>
          <w:color w:val="1F4E79" w:themeColor="accent1" w:themeShade="80"/>
        </w:rPr>
        <w:t xml:space="preserve">rule changes redefining temporary </w:t>
      </w:r>
      <w:r>
        <w:rPr>
          <w:rFonts w:ascii="Calibri" w:hAnsi="Calibri" w:cs="Calibri"/>
          <w:color w:val="1F4E79" w:themeColor="accent1" w:themeShade="80"/>
        </w:rPr>
        <w:t>employment</w:t>
      </w:r>
      <w:r w:rsidRPr="00F3307B">
        <w:rPr>
          <w:rFonts w:ascii="Calibri" w:hAnsi="Calibri" w:cs="Calibri"/>
          <w:color w:val="1F4E79" w:themeColor="accent1" w:themeShade="80"/>
        </w:rPr>
        <w:t>, resulting in significant project/policy work and additional collective bargaining obligations for</w:t>
      </w:r>
      <w:r w:rsidRPr="00F3307B">
        <w:rPr>
          <w:rStyle w:val="apple-converted-space"/>
          <w:rFonts w:ascii="Calibri" w:hAnsi="Calibri" w:cs="Calibri"/>
          <w:color w:val="1F4E79" w:themeColor="accent1" w:themeShade="80"/>
        </w:rPr>
        <w:t> </w:t>
      </w:r>
      <w:r w:rsidRPr="00F3307B">
        <w:rPr>
          <w:rFonts w:ascii="Calibri" w:hAnsi="Calibri" w:cs="Calibri"/>
          <w:i/>
          <w:iCs/>
          <w:color w:val="1F4E79" w:themeColor="accent1" w:themeShade="80"/>
        </w:rPr>
        <w:t>all</w:t>
      </w:r>
      <w:r w:rsidRPr="00F3307B">
        <w:rPr>
          <w:rStyle w:val="apple-converted-space"/>
          <w:rFonts w:ascii="Calibri" w:hAnsi="Calibri" w:cs="Calibri"/>
          <w:color w:val="1F4E79" w:themeColor="accent1" w:themeShade="80"/>
        </w:rPr>
        <w:t> </w:t>
      </w:r>
      <w:r w:rsidRPr="00F3307B">
        <w:rPr>
          <w:rFonts w:ascii="Calibri" w:hAnsi="Calibri" w:cs="Calibri"/>
          <w:color w:val="1F4E79" w:themeColor="accent1" w:themeShade="80"/>
        </w:rPr>
        <w:t>staff bargaining units</w:t>
      </w:r>
      <w:r>
        <w:rPr>
          <w:rFonts w:ascii="Calibri" w:hAnsi="Calibri" w:cs="Calibri"/>
          <w:color w:val="1F4E79" w:themeColor="accent1" w:themeShade="80"/>
        </w:rPr>
        <w:t>.</w:t>
      </w:r>
    </w:p>
    <w:p w14:paraId="485B6F44" w14:textId="77777777" w:rsidR="005A6FEB" w:rsidRPr="00F3307B" w:rsidRDefault="005A6FEB" w:rsidP="005A6FEB">
      <w:pPr>
        <w:pStyle w:val="ListParagraph"/>
        <w:numPr>
          <w:ilvl w:val="0"/>
          <w:numId w:val="23"/>
        </w:numPr>
        <w:spacing w:after="0" w:line="240" w:lineRule="auto"/>
        <w:ind w:left="1440"/>
        <w:contextualSpacing w:val="0"/>
        <w:rPr>
          <w:rFonts w:ascii="Calibri" w:hAnsi="Calibri" w:cs="Calibri"/>
          <w:color w:val="1F4E79" w:themeColor="accent1" w:themeShade="80"/>
        </w:rPr>
      </w:pPr>
      <w:r w:rsidRPr="00F3307B">
        <w:rPr>
          <w:rFonts w:ascii="Calibri" w:hAnsi="Calibri" w:cs="Calibri"/>
          <w:color w:val="1F4E79" w:themeColor="accent1" w:themeShade="80"/>
        </w:rPr>
        <w:t>Ongoing management of sexual misconduct disclosure law for all new staff and student hires and being responsive to sexual misconduct reference checks from other institutions of higher education</w:t>
      </w:r>
      <w:r>
        <w:rPr>
          <w:rFonts w:ascii="Calibri" w:hAnsi="Calibri" w:cs="Calibri"/>
          <w:color w:val="1F4E79" w:themeColor="accent1" w:themeShade="80"/>
        </w:rPr>
        <w:t>.</w:t>
      </w:r>
    </w:p>
    <w:p w14:paraId="76C86375" w14:textId="77777777" w:rsidR="005A6FEB" w:rsidRPr="00F3307B" w:rsidRDefault="005A6FEB" w:rsidP="005A6FEB">
      <w:pPr>
        <w:pStyle w:val="ListParagraph"/>
        <w:numPr>
          <w:ilvl w:val="0"/>
          <w:numId w:val="23"/>
        </w:numPr>
        <w:spacing w:after="0" w:line="240" w:lineRule="auto"/>
        <w:ind w:left="1440"/>
        <w:contextualSpacing w:val="0"/>
        <w:rPr>
          <w:rFonts w:ascii="Calibri" w:hAnsi="Calibri" w:cs="Calibri"/>
          <w:color w:val="1F4E79" w:themeColor="accent1" w:themeShade="80"/>
        </w:rPr>
      </w:pPr>
      <w:r w:rsidRPr="00F3307B">
        <w:rPr>
          <w:rFonts w:ascii="Calibri" w:hAnsi="Calibri" w:cs="Calibri"/>
          <w:color w:val="1F4E79" w:themeColor="accent1" w:themeShade="80"/>
        </w:rPr>
        <w:t>Implementation of</w:t>
      </w:r>
      <w:r w:rsidRPr="00F3307B">
        <w:rPr>
          <w:rStyle w:val="apple-converted-space"/>
          <w:rFonts w:ascii="Calibri" w:hAnsi="Calibri" w:cs="Calibri"/>
          <w:color w:val="1F4E79" w:themeColor="accent1" w:themeShade="80"/>
        </w:rPr>
        <w:t> </w:t>
      </w:r>
      <w:hyperlink r:id="rId11" w:tooltip="https://ofm.wa.gov/sites/default/files/public/shr/Directives/WorkforceDiversityDirective.pdf" w:history="1">
        <w:r w:rsidRPr="00F3307B">
          <w:rPr>
            <w:rStyle w:val="Hyperlink"/>
            <w:rFonts w:ascii="Calibri" w:hAnsi="Calibri" w:cs="Calibri"/>
            <w:color w:val="1F4E79" w:themeColor="accent1" w:themeShade="80"/>
          </w:rPr>
          <w:t>State HR Diversity Directive 20-02</w:t>
        </w:r>
      </w:hyperlink>
      <w:r w:rsidRPr="00F3307B">
        <w:rPr>
          <w:rStyle w:val="apple-converted-space"/>
          <w:rFonts w:ascii="Calibri" w:hAnsi="Calibri" w:cs="Calibri"/>
          <w:color w:val="1F4E79" w:themeColor="accent1" w:themeShade="80"/>
        </w:rPr>
        <w:t> </w:t>
      </w:r>
      <w:r w:rsidRPr="00F3307B">
        <w:rPr>
          <w:rFonts w:ascii="Calibri" w:hAnsi="Calibri" w:cs="Calibri"/>
          <w:color w:val="1F4E79" w:themeColor="accent1" w:themeShade="80"/>
        </w:rPr>
        <w:t>requirements including “Implicit Bias” and “Record keeping supports a fair hiring process training” development, implementation, compliance management and content maintenance.</w:t>
      </w:r>
    </w:p>
    <w:p w14:paraId="009C84F5" w14:textId="77777777" w:rsidR="005A6FEB" w:rsidRPr="00F3307B" w:rsidRDefault="005A6FEB" w:rsidP="005A6FEB">
      <w:pPr>
        <w:pStyle w:val="ListParagraph"/>
        <w:rPr>
          <w:rFonts w:cstheme="minorHAnsi"/>
          <w:iCs/>
          <w:color w:val="1F4E79" w:themeColor="accent1" w:themeShade="80"/>
          <w:shd w:val="clear" w:color="auto" w:fill="FFFFFF"/>
        </w:rPr>
      </w:pPr>
    </w:p>
    <w:p w14:paraId="0FA54B73" w14:textId="77777777" w:rsidR="005A6FEB" w:rsidRPr="00F3307B" w:rsidRDefault="005A6FEB" w:rsidP="005A6FEB">
      <w:pPr>
        <w:pStyle w:val="ListParagraph"/>
        <w:spacing w:after="0" w:line="240" w:lineRule="auto"/>
        <w:rPr>
          <w:rFonts w:cstheme="minorHAnsi"/>
          <w:b/>
          <w:bCs/>
          <w:iCs/>
          <w:color w:val="1F4E79" w:themeColor="accent1" w:themeShade="80"/>
          <w:shd w:val="clear" w:color="auto" w:fill="FFFFFF"/>
        </w:rPr>
      </w:pPr>
      <w:r w:rsidRPr="00F3307B">
        <w:rPr>
          <w:rFonts w:cstheme="minorHAnsi"/>
          <w:b/>
          <w:bCs/>
          <w:iCs/>
          <w:color w:val="1F4E79" w:themeColor="accent1" w:themeShade="80"/>
          <w:shd w:val="clear" w:color="auto" w:fill="FFFFFF"/>
        </w:rPr>
        <w:t>PANDEMIC-RELATED</w:t>
      </w:r>
      <w:r>
        <w:rPr>
          <w:rFonts w:cstheme="minorHAnsi"/>
          <w:b/>
          <w:bCs/>
          <w:iCs/>
          <w:color w:val="1F4E79" w:themeColor="accent1" w:themeShade="80"/>
          <w:shd w:val="clear" w:color="auto" w:fill="FFFFFF"/>
        </w:rPr>
        <w:t xml:space="preserve"> WORK THAT WILL BE ONGOING</w:t>
      </w:r>
    </w:p>
    <w:p w14:paraId="534C4734" w14:textId="77777777" w:rsidR="005A6FEB" w:rsidRPr="00F3307B" w:rsidRDefault="005A6FEB" w:rsidP="005A6FEB">
      <w:pPr>
        <w:pStyle w:val="ListParagraph"/>
        <w:numPr>
          <w:ilvl w:val="0"/>
          <w:numId w:val="22"/>
        </w:numPr>
        <w:spacing w:after="0" w:line="240" w:lineRule="auto"/>
        <w:rPr>
          <w:rFonts w:cstheme="minorHAnsi"/>
          <w:iCs/>
          <w:color w:val="1F4E79" w:themeColor="accent1" w:themeShade="80"/>
          <w:shd w:val="clear" w:color="auto" w:fill="FFFFFF"/>
        </w:rPr>
      </w:pPr>
      <w:r w:rsidRPr="00F3307B">
        <w:rPr>
          <w:rFonts w:cstheme="minorHAnsi"/>
          <w:iCs/>
          <w:color w:val="1F4E79" w:themeColor="accent1" w:themeShade="80"/>
          <w:shd w:val="clear" w:color="auto" w:fill="FFFFFF"/>
        </w:rPr>
        <w:t>Vaccination verification for newly hired staff and student employees</w:t>
      </w:r>
      <w:r>
        <w:rPr>
          <w:rFonts w:cstheme="minorHAnsi"/>
          <w:iCs/>
          <w:color w:val="1F4E79" w:themeColor="accent1" w:themeShade="80"/>
          <w:shd w:val="clear" w:color="auto" w:fill="FFFFFF"/>
        </w:rPr>
        <w:t>.</w:t>
      </w:r>
      <w:r w:rsidRPr="00F3307B">
        <w:rPr>
          <w:rFonts w:cstheme="minorHAnsi"/>
          <w:iCs/>
          <w:color w:val="1F4E79" w:themeColor="accent1" w:themeShade="80"/>
          <w:shd w:val="clear" w:color="auto" w:fill="FFFFFF"/>
        </w:rPr>
        <w:t xml:space="preserve"> </w:t>
      </w:r>
    </w:p>
    <w:p w14:paraId="305485B9" w14:textId="77777777" w:rsidR="005A6FEB" w:rsidRPr="00F3307B" w:rsidRDefault="005A6FEB" w:rsidP="005A6FEB">
      <w:pPr>
        <w:pStyle w:val="ListParagraph"/>
        <w:numPr>
          <w:ilvl w:val="0"/>
          <w:numId w:val="22"/>
        </w:numPr>
        <w:spacing w:after="0" w:line="240" w:lineRule="auto"/>
        <w:rPr>
          <w:rFonts w:cstheme="minorHAnsi"/>
          <w:iCs/>
          <w:color w:val="1F4E79" w:themeColor="accent1" w:themeShade="80"/>
          <w:shd w:val="clear" w:color="auto" w:fill="FFFFFF"/>
        </w:rPr>
      </w:pPr>
      <w:r w:rsidRPr="00F3307B">
        <w:rPr>
          <w:rFonts w:cstheme="minorHAnsi"/>
          <w:iCs/>
          <w:color w:val="1F4E79" w:themeColor="accent1" w:themeShade="80"/>
          <w:shd w:val="clear" w:color="auto" w:fill="FFFFFF"/>
        </w:rPr>
        <w:t>Vaccination exemption requests for new staff and student employees</w:t>
      </w:r>
      <w:r>
        <w:rPr>
          <w:rFonts w:cstheme="minorHAnsi"/>
          <w:iCs/>
          <w:color w:val="1F4E79" w:themeColor="accent1" w:themeShade="80"/>
          <w:shd w:val="clear" w:color="auto" w:fill="FFFFFF"/>
        </w:rPr>
        <w:t>.</w:t>
      </w:r>
    </w:p>
    <w:p w14:paraId="359AD4B0" w14:textId="77777777" w:rsidR="005A6FEB" w:rsidRPr="00F3307B" w:rsidRDefault="005A6FEB" w:rsidP="005A6FEB">
      <w:pPr>
        <w:pStyle w:val="ListParagraph"/>
        <w:numPr>
          <w:ilvl w:val="0"/>
          <w:numId w:val="22"/>
        </w:numPr>
        <w:spacing w:after="0" w:line="240" w:lineRule="auto"/>
        <w:rPr>
          <w:rFonts w:cstheme="minorHAnsi"/>
          <w:iCs/>
          <w:color w:val="1F4E79" w:themeColor="accent1" w:themeShade="80"/>
          <w:shd w:val="clear" w:color="auto" w:fill="FFFFFF"/>
        </w:rPr>
      </w:pPr>
      <w:r w:rsidRPr="00F3307B">
        <w:rPr>
          <w:rFonts w:cstheme="minorHAnsi"/>
          <w:iCs/>
          <w:color w:val="1F4E79" w:themeColor="accent1" w:themeShade="80"/>
          <w:shd w:val="clear" w:color="auto" w:fill="FFFFFF"/>
        </w:rPr>
        <w:t>Managing testing compliance for 300+ employee vaccination accommodations</w:t>
      </w:r>
      <w:r>
        <w:rPr>
          <w:rFonts w:cstheme="minorHAnsi"/>
          <w:iCs/>
          <w:color w:val="1F4E79" w:themeColor="accent1" w:themeShade="80"/>
          <w:shd w:val="clear" w:color="auto" w:fill="FFFFFF"/>
        </w:rPr>
        <w:t>.</w:t>
      </w:r>
    </w:p>
    <w:p w14:paraId="0FDE2C8C" w14:textId="77777777" w:rsidR="005A6FEB" w:rsidRPr="00F3307B" w:rsidRDefault="005A6FEB" w:rsidP="005A6FEB">
      <w:pPr>
        <w:pStyle w:val="ListParagraph"/>
        <w:numPr>
          <w:ilvl w:val="0"/>
          <w:numId w:val="22"/>
        </w:numPr>
        <w:spacing w:after="0" w:line="240" w:lineRule="auto"/>
        <w:contextualSpacing w:val="0"/>
        <w:rPr>
          <w:rFonts w:ascii="Calibri" w:hAnsi="Calibri" w:cs="Calibri"/>
          <w:color w:val="1F4E79" w:themeColor="accent1" w:themeShade="80"/>
        </w:rPr>
      </w:pPr>
      <w:r w:rsidRPr="00F3307B">
        <w:rPr>
          <w:rFonts w:ascii="Calibri" w:hAnsi="Calibri" w:cs="Calibri"/>
          <w:color w:val="1F4E79" w:themeColor="accent1" w:themeShade="80"/>
        </w:rPr>
        <w:t xml:space="preserve">Ongoing management of all COVID-19 related employment exception policies such as vacation time off maximum, temporary hours limits, I-9 requirements (clean up after remote review period ended), public health emergency accommodation, early </w:t>
      </w:r>
      <w:proofErr w:type="gramStart"/>
      <w:r w:rsidRPr="00F3307B">
        <w:rPr>
          <w:rFonts w:ascii="Calibri" w:hAnsi="Calibri" w:cs="Calibri"/>
          <w:color w:val="1F4E79" w:themeColor="accent1" w:themeShade="80"/>
        </w:rPr>
        <w:t>benefits</w:t>
      </w:r>
      <w:proofErr w:type="gramEnd"/>
      <w:r w:rsidRPr="00F3307B">
        <w:rPr>
          <w:rFonts w:ascii="Calibri" w:hAnsi="Calibri" w:cs="Calibri"/>
          <w:color w:val="1F4E79" w:themeColor="accent1" w:themeShade="80"/>
        </w:rPr>
        <w:t xml:space="preserve"> and mask compliance</w:t>
      </w:r>
      <w:r>
        <w:rPr>
          <w:rFonts w:ascii="Calibri" w:hAnsi="Calibri" w:cs="Calibri"/>
          <w:color w:val="1F4E79" w:themeColor="accent1" w:themeShade="80"/>
        </w:rPr>
        <w:t>.</w:t>
      </w:r>
    </w:p>
    <w:p w14:paraId="595FAAB5" w14:textId="77777777" w:rsidR="005A6FEB" w:rsidRPr="00F3307B" w:rsidRDefault="005A6FEB" w:rsidP="005A6FEB">
      <w:pPr>
        <w:pStyle w:val="ListParagraph"/>
        <w:numPr>
          <w:ilvl w:val="0"/>
          <w:numId w:val="22"/>
        </w:numPr>
        <w:spacing w:after="0" w:line="240" w:lineRule="auto"/>
        <w:rPr>
          <w:rFonts w:cstheme="minorHAnsi"/>
          <w:iCs/>
          <w:color w:val="1F4E79" w:themeColor="accent1" w:themeShade="80"/>
          <w:shd w:val="clear" w:color="auto" w:fill="FFFFFF"/>
        </w:rPr>
      </w:pPr>
      <w:r w:rsidRPr="00F3307B">
        <w:rPr>
          <w:rFonts w:cstheme="minorHAnsi"/>
          <w:iCs/>
          <w:color w:val="1F4E79" w:themeColor="accent1" w:themeShade="80"/>
          <w:shd w:val="clear" w:color="auto" w:fill="FFFFFF"/>
        </w:rPr>
        <w:t>Providing expertise to clients seeking pivots to remote (in state and out of state) and onsite work as pandemic concerns grow and wane</w:t>
      </w:r>
      <w:r>
        <w:rPr>
          <w:rFonts w:cstheme="minorHAnsi"/>
          <w:iCs/>
          <w:color w:val="1F4E79" w:themeColor="accent1" w:themeShade="80"/>
          <w:shd w:val="clear" w:color="auto" w:fill="FFFFFF"/>
        </w:rPr>
        <w:t>.</w:t>
      </w:r>
    </w:p>
    <w:p w14:paraId="4624D644" w14:textId="77777777" w:rsidR="005A6FEB" w:rsidRDefault="005A6FEB" w:rsidP="005A6FEB">
      <w:pPr>
        <w:pStyle w:val="ListParagraph"/>
        <w:numPr>
          <w:ilvl w:val="0"/>
          <w:numId w:val="22"/>
        </w:numPr>
        <w:spacing w:after="0" w:line="240" w:lineRule="auto"/>
        <w:contextualSpacing w:val="0"/>
        <w:rPr>
          <w:rFonts w:ascii="Calibri" w:hAnsi="Calibri" w:cs="Calibri"/>
          <w:color w:val="1F4E79" w:themeColor="accent1" w:themeShade="80"/>
        </w:rPr>
      </w:pPr>
      <w:r w:rsidRPr="00F3307B">
        <w:rPr>
          <w:rFonts w:ascii="Calibri" w:hAnsi="Calibri" w:cs="Calibri"/>
          <w:color w:val="1F4E79" w:themeColor="accent1" w:themeShade="80"/>
        </w:rPr>
        <w:t>Increased workload of unemployment claims due to furloughs</w:t>
      </w:r>
      <w:r>
        <w:rPr>
          <w:rFonts w:ascii="Calibri" w:hAnsi="Calibri" w:cs="Calibri"/>
          <w:color w:val="1F4E79" w:themeColor="accent1" w:themeShade="80"/>
        </w:rPr>
        <w:t>, fraud</w:t>
      </w:r>
      <w:r w:rsidRPr="00F3307B">
        <w:rPr>
          <w:rFonts w:ascii="Calibri" w:hAnsi="Calibri" w:cs="Calibri"/>
          <w:color w:val="1F4E79" w:themeColor="accent1" w:themeShade="80"/>
        </w:rPr>
        <w:t xml:space="preserve"> and increased institutional attrition</w:t>
      </w:r>
      <w:r>
        <w:rPr>
          <w:rFonts w:ascii="Calibri" w:hAnsi="Calibri" w:cs="Calibri"/>
          <w:color w:val="1F4E79" w:themeColor="accent1" w:themeShade="80"/>
        </w:rPr>
        <w:t>.</w:t>
      </w:r>
    </w:p>
    <w:p w14:paraId="0E3CD9DB" w14:textId="77777777" w:rsidR="005A6FEB" w:rsidRPr="00022866" w:rsidRDefault="005A6FEB" w:rsidP="005A6FEB">
      <w:pPr>
        <w:spacing w:line="231" w:lineRule="atLeast"/>
        <w:rPr>
          <w:rFonts w:ascii="Calibri" w:eastAsia="Times New Roman" w:hAnsi="Calibri" w:cs="Calibri"/>
          <w:color w:val="000000"/>
        </w:rPr>
      </w:pPr>
    </w:p>
    <w:p w14:paraId="4F7E504B" w14:textId="77777777" w:rsidR="005A6FEB" w:rsidRDefault="005A6FEB" w:rsidP="005A6FEB">
      <w:pPr>
        <w:pStyle w:val="ListParagraph"/>
        <w:rPr>
          <w:rFonts w:cstheme="minorHAnsi"/>
          <w:iCs/>
          <w:color w:val="1F4E79" w:themeColor="accent1" w:themeShade="80"/>
          <w:shd w:val="clear" w:color="auto" w:fill="FFFFFF"/>
        </w:rPr>
      </w:pPr>
      <w:r>
        <w:rPr>
          <w:rFonts w:cstheme="minorHAnsi"/>
          <w:iCs/>
          <w:color w:val="1F4E79" w:themeColor="accent1" w:themeShade="80"/>
          <w:shd w:val="clear" w:color="auto" w:fill="FFFFFF"/>
        </w:rPr>
        <w:lastRenderedPageBreak/>
        <w:t>As a mitigation tactic, we have relied on our temporary funds to provide TPIs for retention and/or when staff have taken on significant added duties (16 TPIs in FY22 as of 1/21). We have also hired five positions on temporary funds to support the enterprise, as well as committing temporary funding for all or a portion of positions that should be permanent.</w:t>
      </w:r>
    </w:p>
    <w:p w14:paraId="3BDB2DC1" w14:textId="77777777" w:rsidR="005A6FEB" w:rsidRDefault="005A6FEB" w:rsidP="005A6FEB">
      <w:pPr>
        <w:pStyle w:val="ListParagraph"/>
        <w:rPr>
          <w:rFonts w:cstheme="minorHAnsi"/>
          <w:iCs/>
          <w:color w:val="1F4E79" w:themeColor="accent1" w:themeShade="80"/>
          <w:shd w:val="clear" w:color="auto" w:fill="FFFFFF"/>
        </w:rPr>
      </w:pPr>
    </w:p>
    <w:p w14:paraId="62771D27" w14:textId="77777777" w:rsidR="005A6FEB" w:rsidRDefault="005A6FEB" w:rsidP="005A6FEB">
      <w:pPr>
        <w:pStyle w:val="ListParagraph"/>
        <w:rPr>
          <w:rFonts w:cstheme="minorHAnsi"/>
          <w:iCs/>
          <w:color w:val="1F4E79" w:themeColor="accent1" w:themeShade="80"/>
          <w:shd w:val="clear" w:color="auto" w:fill="FFFFFF"/>
        </w:rPr>
      </w:pPr>
      <w:r>
        <w:rPr>
          <w:rFonts w:cstheme="minorHAnsi"/>
          <w:iCs/>
          <w:color w:val="1F4E79" w:themeColor="accent1" w:themeShade="80"/>
          <w:shd w:val="clear" w:color="auto" w:fill="FFFFFF"/>
        </w:rPr>
        <w:t xml:space="preserve">As recognized by senior leadership, UWHR is severely understaffed for its increasing scope of responsibilities. While we have been sensitive in past years about only asking for the most critical needs, I am very concerned about that there won’t be much of a department left by 2023 if we do not bolster retention by increasing salaries to be competitive at least with what some of our own UW clients pay their internal HR teams and adding several new positions to support the list of responsibilities above. </w:t>
      </w:r>
    </w:p>
    <w:p w14:paraId="1310014D" w14:textId="77777777" w:rsidR="005A6FEB" w:rsidRDefault="005A6FEB" w:rsidP="005A6FEB">
      <w:pPr>
        <w:pStyle w:val="ListParagraph"/>
        <w:rPr>
          <w:color w:val="000000" w:themeColor="text1"/>
          <w:shd w:val="clear" w:color="auto" w:fill="FFFFFF"/>
        </w:rPr>
      </w:pP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2D2ECAF7" w14:textId="77777777" w:rsidR="005A6FEB" w:rsidRPr="00F72D35" w:rsidRDefault="005A6FEB" w:rsidP="005A6FEB">
      <w:pPr>
        <w:ind w:left="720"/>
        <w:rPr>
          <w:color w:val="002060"/>
        </w:rPr>
      </w:pPr>
      <w:r w:rsidRPr="00F72D35">
        <w:rPr>
          <w:color w:val="002060"/>
        </w:rPr>
        <w:t xml:space="preserve">UWHR is dedicated to a future where all staff are valued, and inclusive and equitable practices are embedded in the culture of who we are as </w:t>
      </w:r>
      <w:r>
        <w:rPr>
          <w:color w:val="002060"/>
        </w:rPr>
        <w:t>an</w:t>
      </w:r>
      <w:r w:rsidRPr="00F72D35">
        <w:rPr>
          <w:color w:val="002060"/>
        </w:rPr>
        <w:t xml:space="preserve"> employer. In support of the Diversity Blueprint, UWHR provides resources, </w:t>
      </w:r>
      <w:proofErr w:type="gramStart"/>
      <w:r w:rsidRPr="00F72D35">
        <w:rPr>
          <w:color w:val="002060"/>
        </w:rPr>
        <w:t>tools</w:t>
      </w:r>
      <w:proofErr w:type="gramEnd"/>
      <w:r w:rsidRPr="00F72D35">
        <w:rPr>
          <w:color w:val="002060"/>
        </w:rPr>
        <w:t xml:space="preserve"> and training on the </w:t>
      </w:r>
      <w:hyperlink r:id="rId12" w:history="1">
        <w:r w:rsidRPr="00F72D35">
          <w:rPr>
            <w:color w:val="002060"/>
          </w:rPr>
          <w:t>HR D</w:t>
        </w:r>
        <w:r>
          <w:rPr>
            <w:color w:val="002060"/>
          </w:rPr>
          <w:t>EI</w:t>
        </w:r>
      </w:hyperlink>
      <w:r w:rsidRPr="00F72D35">
        <w:rPr>
          <w:color w:val="002060"/>
        </w:rPr>
        <w:t> website to support staff, hiring managers and leaders (58,070 pageviews</w:t>
      </w:r>
      <w:r>
        <w:rPr>
          <w:color w:val="002060"/>
        </w:rPr>
        <w:t xml:space="preserve"> fiscal YTD</w:t>
      </w:r>
      <w:r w:rsidRPr="00F72D35">
        <w:rPr>
          <w:color w:val="002060"/>
        </w:rPr>
        <w:t xml:space="preserve">). </w:t>
      </w:r>
      <w:r>
        <w:rPr>
          <w:color w:val="002060"/>
        </w:rPr>
        <w:t>UWHR staff</w:t>
      </w:r>
      <w:r w:rsidRPr="00F72D35">
        <w:rPr>
          <w:color w:val="002060"/>
        </w:rPr>
        <w:t xml:space="preserve"> engage in ongoing DEI education and development while broadly sharing knowledge, information and tools and working to engage others across the UW through outreach, the UWHR Community of Practice, and other avenues. </w:t>
      </w:r>
    </w:p>
    <w:p w14:paraId="772D275D" w14:textId="77777777" w:rsidR="005A6FEB" w:rsidRPr="00F72D35" w:rsidRDefault="005A6FEB" w:rsidP="005A6FEB">
      <w:pPr>
        <w:ind w:left="720"/>
        <w:rPr>
          <w:color w:val="002060"/>
        </w:rPr>
      </w:pPr>
      <w:r w:rsidRPr="00F72D35">
        <w:rPr>
          <w:color w:val="002060"/>
        </w:rPr>
        <w:t xml:space="preserve">Creating and maintaining working and learning environments that are inclusive, equitable, and welcoming happen at the </w:t>
      </w:r>
      <w:r>
        <w:rPr>
          <w:color w:val="002060"/>
        </w:rPr>
        <w:t xml:space="preserve">department </w:t>
      </w:r>
      <w:r w:rsidRPr="00F72D35">
        <w:rPr>
          <w:color w:val="002060"/>
        </w:rPr>
        <w:t>level</w:t>
      </w:r>
      <w:r>
        <w:rPr>
          <w:color w:val="002060"/>
        </w:rPr>
        <w:t>.</w:t>
      </w:r>
      <w:r w:rsidRPr="00F72D35">
        <w:rPr>
          <w:color w:val="002060"/>
        </w:rPr>
        <w:t xml:space="preserve"> </w:t>
      </w:r>
      <w:r>
        <w:rPr>
          <w:color w:val="002060"/>
        </w:rPr>
        <w:t xml:space="preserve">However, </w:t>
      </w:r>
      <w:r w:rsidRPr="00F72D35">
        <w:rPr>
          <w:color w:val="002060"/>
        </w:rPr>
        <w:t>UWHR supports the</w:t>
      </w:r>
      <w:r>
        <w:rPr>
          <w:color w:val="002060"/>
        </w:rPr>
        <w:t xml:space="preserve"> local efforts by delivering enterprise-wide</w:t>
      </w:r>
      <w:r w:rsidRPr="00F72D35">
        <w:rPr>
          <w:color w:val="002060"/>
        </w:rPr>
        <w:t xml:space="preserve"> policy, training, and data-driven solutions that will help increase workforce diversity, foster a welcoming and inclusive workplace, and establish accountability through data-driven metrics and strategies. </w:t>
      </w:r>
    </w:p>
    <w:p w14:paraId="1A4C1F7C" w14:textId="77777777" w:rsidR="005A6FEB" w:rsidRDefault="005A6FEB" w:rsidP="005A6FEB">
      <w:pPr>
        <w:ind w:left="720"/>
        <w:rPr>
          <w:color w:val="002060"/>
        </w:rPr>
      </w:pPr>
      <w:r w:rsidRPr="00F72D35">
        <w:rPr>
          <w:color w:val="002060"/>
        </w:rPr>
        <w:t>UWHR’s internal DEI team provide best practice expertise</w:t>
      </w:r>
      <w:r>
        <w:rPr>
          <w:color w:val="002060"/>
        </w:rPr>
        <w:t xml:space="preserve"> across campus</w:t>
      </w:r>
      <w:r w:rsidRPr="00F72D35">
        <w:rPr>
          <w:color w:val="002060"/>
        </w:rPr>
        <w:t xml:space="preserve"> through coaching and training</w:t>
      </w:r>
      <w:r>
        <w:rPr>
          <w:color w:val="002060"/>
        </w:rPr>
        <w:t xml:space="preserve">, </w:t>
      </w:r>
      <w:r w:rsidRPr="00F72D35">
        <w:rPr>
          <w:color w:val="002060"/>
        </w:rPr>
        <w:t>engag</w:t>
      </w:r>
      <w:r>
        <w:rPr>
          <w:color w:val="002060"/>
        </w:rPr>
        <w:t>ing</w:t>
      </w:r>
      <w:r w:rsidRPr="00F72D35">
        <w:rPr>
          <w:color w:val="002060"/>
        </w:rPr>
        <w:t xml:space="preserve"> with DEI leads and networks across the institution, develop</w:t>
      </w:r>
      <w:r>
        <w:rPr>
          <w:color w:val="002060"/>
        </w:rPr>
        <w:t>ing</w:t>
      </w:r>
      <w:r w:rsidRPr="00F72D35">
        <w:rPr>
          <w:color w:val="002060"/>
        </w:rPr>
        <w:t xml:space="preserve"> HR-related tools and resources to help advance DEI efforts, evalua</w:t>
      </w:r>
      <w:r>
        <w:rPr>
          <w:color w:val="002060"/>
        </w:rPr>
        <w:t>ting</w:t>
      </w:r>
      <w:r w:rsidRPr="00F72D35">
        <w:rPr>
          <w:color w:val="002060"/>
        </w:rPr>
        <w:t xml:space="preserve"> demographic data, and help</w:t>
      </w:r>
      <w:r>
        <w:rPr>
          <w:color w:val="002060"/>
        </w:rPr>
        <w:t>ing to</w:t>
      </w:r>
      <w:r w:rsidRPr="00F72D35">
        <w:rPr>
          <w:color w:val="002060"/>
        </w:rPr>
        <w:t xml:space="preserve"> amplify the voices and experiences of BIPOC staff. In FY22, the team was expanded to include a diversity workforce analyst whose expertise will deepen efforts around demographic data analysis, inclusive hiring practices and workforce planning. </w:t>
      </w:r>
    </w:p>
    <w:p w14:paraId="7560A5E5" w14:textId="77777777" w:rsidR="005A6FEB" w:rsidRPr="00F72D35" w:rsidRDefault="005A6FEB" w:rsidP="005A6FEB">
      <w:pPr>
        <w:ind w:left="720"/>
        <w:rPr>
          <w:color w:val="002060"/>
        </w:rPr>
      </w:pPr>
      <w:r w:rsidRPr="00F72D35">
        <w:rPr>
          <w:color w:val="002060"/>
        </w:rPr>
        <w:t xml:space="preserve">Under the leadership of </w:t>
      </w:r>
      <w:proofErr w:type="spellStart"/>
      <w:r w:rsidRPr="00F72D35">
        <w:rPr>
          <w:color w:val="002060"/>
        </w:rPr>
        <w:t>Ujima</w:t>
      </w:r>
      <w:proofErr w:type="spellEnd"/>
      <w:r w:rsidRPr="00F72D35">
        <w:rPr>
          <w:color w:val="002060"/>
        </w:rPr>
        <w:t xml:space="preserve"> Donalson, assistant vice president for Total Talent Management and UWHR’s inclusion strategist, the DEI team partners with the </w:t>
      </w:r>
      <w:r>
        <w:rPr>
          <w:color w:val="002060"/>
        </w:rPr>
        <w:t>OMAD</w:t>
      </w:r>
      <w:r w:rsidRPr="00F72D35">
        <w:rPr>
          <w:color w:val="002060"/>
        </w:rPr>
        <w:t xml:space="preserve"> and the Board of Regents DEI Advisory Committee. </w:t>
      </w:r>
      <w:r w:rsidRPr="00A802CA">
        <w:rPr>
          <w:color w:val="002060"/>
        </w:rPr>
        <w:t xml:space="preserve">POD’s consultants regularly conduct workshops, facilitate retreats, and perform organizational development work with an implicit or explicit DEI focus. In FY22 this included presenting to the President and Board of Deans; one-on-one coaching addressing issues around racial and gender bias with leaders across the UW; and work with </w:t>
      </w:r>
      <w:r w:rsidRPr="00A802CA">
        <w:rPr>
          <w:color w:val="002060"/>
        </w:rPr>
        <w:lastRenderedPageBreak/>
        <w:t xml:space="preserve">staff and leaders </w:t>
      </w:r>
      <w:r>
        <w:rPr>
          <w:color w:val="002060"/>
        </w:rPr>
        <w:t>in</w:t>
      </w:r>
      <w:r w:rsidRPr="00A802CA">
        <w:rPr>
          <w:color w:val="002060"/>
        </w:rPr>
        <w:t xml:space="preserve"> the School of Public Health, Continuum College, Environmental and Forest Sciences, Anthropology, Academic Personnel, Global Health, UW Bothell, and UW Tacoma.</w:t>
      </w:r>
    </w:p>
    <w:p w14:paraId="17C937D5" w14:textId="77777777" w:rsidR="005A6FEB" w:rsidRPr="00F72D35" w:rsidRDefault="005A6FEB" w:rsidP="005A6FEB">
      <w:pPr>
        <w:ind w:left="720"/>
        <w:rPr>
          <w:color w:val="002060"/>
        </w:rPr>
      </w:pPr>
      <w:r>
        <w:rPr>
          <w:color w:val="002060"/>
        </w:rPr>
        <w:t>Many o</w:t>
      </w:r>
      <w:r w:rsidRPr="00F72D35">
        <w:rPr>
          <w:color w:val="002060"/>
        </w:rPr>
        <w:t xml:space="preserve">ther UWHR </w:t>
      </w:r>
      <w:r>
        <w:rPr>
          <w:color w:val="002060"/>
        </w:rPr>
        <w:t xml:space="preserve">teams contribute to advancing </w:t>
      </w:r>
      <w:proofErr w:type="gramStart"/>
      <w:r>
        <w:rPr>
          <w:color w:val="002060"/>
        </w:rPr>
        <w:t>enterprise wide</w:t>
      </w:r>
      <w:proofErr w:type="gramEnd"/>
      <w:r>
        <w:rPr>
          <w:color w:val="002060"/>
        </w:rPr>
        <w:t xml:space="preserve"> DEI efforts </w:t>
      </w:r>
      <w:r w:rsidRPr="00F72D35">
        <w:rPr>
          <w:color w:val="002060"/>
        </w:rPr>
        <w:t>including HRBAIS, The Whole U, the UWCFD and HR policy:</w:t>
      </w:r>
    </w:p>
    <w:p w14:paraId="1D6FA0C0" w14:textId="77777777" w:rsidR="005A6FEB" w:rsidRDefault="005A6FEB" w:rsidP="005A6FEB">
      <w:pPr>
        <w:ind w:left="720"/>
        <w:rPr>
          <w:color w:val="002060"/>
        </w:rPr>
      </w:pPr>
      <w:r w:rsidRPr="002B0C28">
        <w:rPr>
          <w:color w:val="002060"/>
        </w:rPr>
        <w:t>To date in FY22, UWHR provided faculty and staff with (July 1, 2021 – January 22, 2022)</w:t>
      </w:r>
      <w:r>
        <w:rPr>
          <w:color w:val="002060"/>
        </w:rPr>
        <w:t>:</w:t>
      </w:r>
    </w:p>
    <w:p w14:paraId="5E76AC55" w14:textId="77777777" w:rsidR="005A6FEB" w:rsidRPr="005200D9" w:rsidRDefault="005A6FEB" w:rsidP="005A6FEB">
      <w:pPr>
        <w:pStyle w:val="ListParagraph"/>
        <w:numPr>
          <w:ilvl w:val="0"/>
          <w:numId w:val="26"/>
        </w:numPr>
        <w:rPr>
          <w:color w:val="002060"/>
        </w:rPr>
      </w:pPr>
      <w:r w:rsidRPr="005200D9">
        <w:rPr>
          <w:color w:val="002060"/>
        </w:rPr>
        <w:t>POD courses and classes centered on a DEI topic or with a significant DEI component: 49+ trainings and event to UW staff on a dozen different DEI topics, with 2,698 participants. Offerings included new inclusive language and anti-racism workshops, and the Centering BIPOC Voices: Return to Onsite Work discussion to amplify the specific concerns and experiences of BIPOC staff,</w:t>
      </w:r>
    </w:p>
    <w:p w14:paraId="09BE16C5" w14:textId="77777777" w:rsidR="005A6FEB" w:rsidRPr="002B0C28" w:rsidRDefault="005A6FEB" w:rsidP="005A6FEB">
      <w:pPr>
        <w:pStyle w:val="ListParagraph"/>
        <w:numPr>
          <w:ilvl w:val="0"/>
          <w:numId w:val="25"/>
        </w:numPr>
        <w:ind w:left="1440"/>
        <w:rPr>
          <w:color w:val="002060"/>
        </w:rPr>
      </w:pPr>
      <w:r w:rsidRPr="002B0C28">
        <w:rPr>
          <w:color w:val="002060"/>
        </w:rPr>
        <w:t>UWHR required training for hiring managers: Implicit Bias training with 4,515 participants,</w:t>
      </w:r>
    </w:p>
    <w:p w14:paraId="5C7C2788" w14:textId="77777777" w:rsidR="005A6FEB" w:rsidRPr="002B0C28" w:rsidRDefault="005A6FEB" w:rsidP="005A6FEB">
      <w:pPr>
        <w:pStyle w:val="ListParagraph"/>
        <w:numPr>
          <w:ilvl w:val="0"/>
          <w:numId w:val="25"/>
        </w:numPr>
        <w:ind w:left="1440"/>
        <w:rPr>
          <w:color w:val="002060"/>
        </w:rPr>
      </w:pPr>
      <w:r w:rsidRPr="002B0C28">
        <w:rPr>
          <w:color w:val="002060"/>
        </w:rPr>
        <w:t xml:space="preserve">13 DEI related events and activities through The Whole U with 1,581 total participants, </w:t>
      </w:r>
    </w:p>
    <w:p w14:paraId="22056D71" w14:textId="77777777" w:rsidR="005A6FEB" w:rsidRPr="002B0C28" w:rsidRDefault="005A6FEB" w:rsidP="005A6FEB">
      <w:pPr>
        <w:pStyle w:val="ListParagraph"/>
        <w:numPr>
          <w:ilvl w:val="0"/>
          <w:numId w:val="25"/>
        </w:numPr>
        <w:spacing w:after="0" w:line="240" w:lineRule="auto"/>
        <w:ind w:left="1440"/>
        <w:rPr>
          <w:color w:val="002060"/>
        </w:rPr>
      </w:pPr>
      <w:r w:rsidRPr="002B0C28">
        <w:rPr>
          <w:color w:val="002060"/>
        </w:rPr>
        <w:t xml:space="preserve">19 articles in support of diversity, </w:t>
      </w:r>
      <w:proofErr w:type="gramStart"/>
      <w:r w:rsidRPr="002B0C28">
        <w:rPr>
          <w:color w:val="002060"/>
        </w:rPr>
        <w:t>equity</w:t>
      </w:r>
      <w:proofErr w:type="gramEnd"/>
      <w:r w:rsidRPr="002B0C28">
        <w:rPr>
          <w:color w:val="002060"/>
        </w:rPr>
        <w:t xml:space="preserve"> and inclusion on the CFD website that build awareness and connect the UW community to the larger Seattle community, and</w:t>
      </w:r>
    </w:p>
    <w:p w14:paraId="45444425" w14:textId="77777777" w:rsidR="005A6FEB" w:rsidRPr="002B0C28" w:rsidRDefault="005A6FEB" w:rsidP="005A6FEB">
      <w:pPr>
        <w:pStyle w:val="ListParagraph"/>
        <w:numPr>
          <w:ilvl w:val="0"/>
          <w:numId w:val="25"/>
        </w:numPr>
        <w:spacing w:after="0" w:line="240" w:lineRule="auto"/>
        <w:ind w:left="1440"/>
        <w:rPr>
          <w:color w:val="002060"/>
        </w:rPr>
      </w:pPr>
      <w:r w:rsidRPr="002B0C28">
        <w:rPr>
          <w:rFonts w:eastAsia="Times New Roman" w:cstheme="minorHAnsi"/>
          <w:color w:val="002060"/>
        </w:rPr>
        <w:t>12 minority owned businesses added to The Whole U Discount Network.</w:t>
      </w:r>
    </w:p>
    <w:p w14:paraId="66F70CD7" w14:textId="77777777" w:rsidR="005A6FEB" w:rsidRDefault="005A6FEB" w:rsidP="005A6FEB">
      <w:pPr>
        <w:spacing w:after="0" w:line="240" w:lineRule="auto"/>
        <w:rPr>
          <w:color w:val="002060"/>
        </w:rPr>
      </w:pPr>
    </w:p>
    <w:p w14:paraId="2EB4864C" w14:textId="77777777" w:rsidR="005A6FEB" w:rsidRPr="00BC5713" w:rsidRDefault="005A6FEB" w:rsidP="005A6FEB">
      <w:pPr>
        <w:ind w:left="720"/>
        <w:rPr>
          <w:color w:val="002060"/>
        </w:rPr>
      </w:pPr>
      <w:r>
        <w:rPr>
          <w:color w:val="002060"/>
        </w:rPr>
        <w:t xml:space="preserve">To support HR administrators and leaders in their DEI work, </w:t>
      </w:r>
      <w:r w:rsidRPr="00F72D35">
        <w:rPr>
          <w:color w:val="002060"/>
        </w:rPr>
        <w:t>UWHR</w:t>
      </w:r>
      <w:r>
        <w:rPr>
          <w:color w:val="002060"/>
        </w:rPr>
        <w:t xml:space="preserve"> provided:</w:t>
      </w:r>
    </w:p>
    <w:p w14:paraId="5E90E48E" w14:textId="77777777" w:rsidR="005A6FEB" w:rsidRPr="00F72D35" w:rsidRDefault="005A6FEB" w:rsidP="005A6FEB">
      <w:pPr>
        <w:pStyle w:val="ListParagraph"/>
        <w:numPr>
          <w:ilvl w:val="0"/>
          <w:numId w:val="25"/>
        </w:numPr>
        <w:spacing w:after="0" w:line="240" w:lineRule="auto"/>
        <w:ind w:left="1440"/>
        <w:rPr>
          <w:color w:val="002060"/>
        </w:rPr>
      </w:pPr>
      <w:r>
        <w:rPr>
          <w:color w:val="002060"/>
        </w:rPr>
        <w:t xml:space="preserve">A </w:t>
      </w:r>
      <w:r w:rsidRPr="00F72D35">
        <w:rPr>
          <w:color w:val="002060"/>
        </w:rPr>
        <w:t>DEI Rubric, a practical tool to enable staff departments to assess the effectiveness of internal DEI initiatives as well as existing policies, practices and written materials and engage in specific, concrete action planning to advance DEI efforts</w:t>
      </w:r>
      <w:r>
        <w:rPr>
          <w:color w:val="002060"/>
        </w:rPr>
        <w:t>,</w:t>
      </w:r>
    </w:p>
    <w:p w14:paraId="779CF858" w14:textId="77777777" w:rsidR="005A6FEB" w:rsidRPr="00F72D35" w:rsidRDefault="005A6FEB" w:rsidP="005A6FEB">
      <w:pPr>
        <w:pStyle w:val="ListParagraph"/>
        <w:numPr>
          <w:ilvl w:val="0"/>
          <w:numId w:val="25"/>
        </w:numPr>
        <w:spacing w:after="0" w:line="240" w:lineRule="auto"/>
        <w:ind w:left="1440"/>
        <w:rPr>
          <w:color w:val="002060"/>
        </w:rPr>
      </w:pPr>
      <w:r w:rsidRPr="00F72D35">
        <w:rPr>
          <w:color w:val="002060"/>
        </w:rPr>
        <w:t xml:space="preserve">Produced and presented customized organizational demographic reports to leadership from more than six different major orgs, and published the second annual UW Staff Demographic Baseline Report, which presents data on current employees, candidates, new </w:t>
      </w:r>
      <w:proofErr w:type="gramStart"/>
      <w:r w:rsidRPr="00F72D35">
        <w:rPr>
          <w:color w:val="002060"/>
        </w:rPr>
        <w:t>hires</w:t>
      </w:r>
      <w:proofErr w:type="gramEnd"/>
      <w:r w:rsidRPr="00F72D35">
        <w:rPr>
          <w:color w:val="002060"/>
        </w:rPr>
        <w:t xml:space="preserve"> and terminations</w:t>
      </w:r>
      <w:r>
        <w:rPr>
          <w:color w:val="002060"/>
        </w:rPr>
        <w:t>,</w:t>
      </w:r>
    </w:p>
    <w:p w14:paraId="5BF04339" w14:textId="77777777" w:rsidR="005A6FEB" w:rsidRDefault="005A6FEB" w:rsidP="005A6FEB">
      <w:pPr>
        <w:pStyle w:val="ListParagraph"/>
        <w:numPr>
          <w:ilvl w:val="0"/>
          <w:numId w:val="25"/>
        </w:numPr>
        <w:spacing w:after="0" w:line="240" w:lineRule="auto"/>
        <w:ind w:left="1440"/>
        <w:rPr>
          <w:color w:val="002060"/>
        </w:rPr>
      </w:pPr>
      <w:r>
        <w:rPr>
          <w:color w:val="002060"/>
        </w:rPr>
        <w:t>Introduced new inclusive hiring resources, and</w:t>
      </w:r>
    </w:p>
    <w:p w14:paraId="2B4FDA45" w14:textId="77777777" w:rsidR="005A6FEB" w:rsidRDefault="005A6FEB" w:rsidP="005A6FEB">
      <w:pPr>
        <w:pStyle w:val="ListParagraph"/>
        <w:numPr>
          <w:ilvl w:val="0"/>
          <w:numId w:val="25"/>
        </w:numPr>
        <w:spacing w:after="0" w:line="240" w:lineRule="auto"/>
        <w:ind w:left="1440"/>
        <w:rPr>
          <w:color w:val="002060"/>
        </w:rPr>
      </w:pPr>
      <w:r>
        <w:rPr>
          <w:color w:val="002060"/>
        </w:rPr>
        <w:t xml:space="preserve">Focused three HR Community of Practice discussions on DEI-related topics </w:t>
      </w:r>
    </w:p>
    <w:p w14:paraId="31754682" w14:textId="77777777" w:rsidR="005A6FEB" w:rsidRDefault="005A6FEB" w:rsidP="005A6FEB">
      <w:pPr>
        <w:spacing w:after="0" w:line="240" w:lineRule="auto"/>
        <w:rPr>
          <w:color w:val="002060"/>
        </w:rPr>
      </w:pPr>
    </w:p>
    <w:p w14:paraId="7B1EC0F7" w14:textId="77777777" w:rsidR="005A6FEB" w:rsidRDefault="005A6FEB" w:rsidP="005A6FEB">
      <w:pPr>
        <w:spacing w:after="0" w:line="240" w:lineRule="auto"/>
        <w:rPr>
          <w:color w:val="002060"/>
        </w:rPr>
      </w:pPr>
      <w:r>
        <w:rPr>
          <w:color w:val="002060"/>
        </w:rPr>
        <w:t xml:space="preserve">               To support our internal DEI efforts, UWHR provided:</w:t>
      </w:r>
    </w:p>
    <w:p w14:paraId="65DDB877" w14:textId="77777777" w:rsidR="005A6FEB" w:rsidRDefault="005A6FEB" w:rsidP="005A6FEB">
      <w:pPr>
        <w:spacing w:after="0" w:line="240" w:lineRule="auto"/>
        <w:rPr>
          <w:color w:val="002060"/>
        </w:rPr>
      </w:pPr>
    </w:p>
    <w:p w14:paraId="05FAAD70" w14:textId="77777777" w:rsidR="005A6FEB" w:rsidRDefault="005A6FEB" w:rsidP="005A6FEB">
      <w:pPr>
        <w:pStyle w:val="ListParagraph"/>
        <w:numPr>
          <w:ilvl w:val="0"/>
          <w:numId w:val="25"/>
        </w:numPr>
        <w:spacing w:after="0" w:line="240" w:lineRule="auto"/>
        <w:ind w:left="1440"/>
        <w:rPr>
          <w:color w:val="002060"/>
        </w:rPr>
      </w:pPr>
      <w:r>
        <w:rPr>
          <w:color w:val="002060"/>
        </w:rPr>
        <w:t>Supports the HR Diversity Team</w:t>
      </w:r>
    </w:p>
    <w:p w14:paraId="7CDC4CFE" w14:textId="77777777" w:rsidR="005A6FEB" w:rsidRDefault="005A6FEB" w:rsidP="005A6FEB">
      <w:pPr>
        <w:pStyle w:val="ListParagraph"/>
        <w:numPr>
          <w:ilvl w:val="0"/>
          <w:numId w:val="25"/>
        </w:numPr>
        <w:spacing w:after="0" w:line="240" w:lineRule="auto"/>
        <w:ind w:left="1440"/>
        <w:rPr>
          <w:color w:val="002060"/>
        </w:rPr>
      </w:pPr>
      <w:r>
        <w:rPr>
          <w:color w:val="002060"/>
        </w:rPr>
        <w:t>Monitors belonging through pulse surveys</w:t>
      </w:r>
    </w:p>
    <w:p w14:paraId="2A82AC07" w14:textId="77777777" w:rsidR="005A6FEB" w:rsidRDefault="005A6FEB" w:rsidP="005A6FEB">
      <w:pPr>
        <w:pStyle w:val="ListParagraph"/>
        <w:numPr>
          <w:ilvl w:val="0"/>
          <w:numId w:val="25"/>
        </w:numPr>
        <w:spacing w:after="0" w:line="240" w:lineRule="auto"/>
        <w:ind w:left="1440"/>
        <w:rPr>
          <w:color w:val="002060"/>
        </w:rPr>
      </w:pPr>
      <w:r>
        <w:rPr>
          <w:color w:val="002060"/>
        </w:rPr>
        <w:t>Launched a peer mentoring effort</w:t>
      </w:r>
    </w:p>
    <w:p w14:paraId="720E56D7" w14:textId="77777777" w:rsidR="005A6FEB" w:rsidRPr="003C7AD9" w:rsidRDefault="005A6FEB" w:rsidP="005A6FEB">
      <w:pPr>
        <w:spacing w:after="0" w:line="240" w:lineRule="auto"/>
        <w:rPr>
          <w:color w:val="002060"/>
        </w:rPr>
      </w:pPr>
    </w:p>
    <w:p w14:paraId="2B266F31" w14:textId="77777777" w:rsidR="005A6FEB" w:rsidRPr="003C7AD9" w:rsidRDefault="005A6FEB" w:rsidP="005A6FEB">
      <w:pPr>
        <w:pStyle w:val="ListParagraph"/>
        <w:rPr>
          <w:rFonts w:cstheme="minorHAnsi"/>
          <w:bCs/>
          <w:iCs/>
          <w:color w:val="002060"/>
          <w:shd w:val="clear" w:color="auto" w:fill="FFFFFF"/>
        </w:rPr>
      </w:pPr>
      <w:r w:rsidRPr="00F72D35">
        <w:rPr>
          <w:rFonts w:cstheme="minorHAnsi"/>
          <w:bCs/>
          <w:iCs/>
          <w:color w:val="002060"/>
          <w:shd w:val="clear" w:color="auto" w:fill="FFFFFF"/>
        </w:rPr>
        <w:t>​</w:t>
      </w:r>
      <w:r w:rsidRPr="00F72D35">
        <w:rPr>
          <w:rFonts w:cstheme="minorHAnsi"/>
          <w:b/>
          <w:iCs/>
          <w:color w:val="002060"/>
          <w:shd w:val="clear" w:color="auto" w:fill="FFFFFF"/>
        </w:rPr>
        <w:t>Assessing impact:</w:t>
      </w:r>
      <w:r w:rsidRPr="00F72D35">
        <w:rPr>
          <w:rFonts w:cstheme="minorHAnsi"/>
          <w:bCs/>
          <w:iCs/>
          <w:color w:val="002060"/>
          <w:shd w:val="clear" w:color="auto" w:fill="FFFFFF"/>
        </w:rPr>
        <w:t xml:space="preserve"> UWHR monitors web traffic and event and course evaluations regularly. </w:t>
      </w:r>
      <w:r>
        <w:rPr>
          <w:rFonts w:cstheme="minorHAnsi"/>
          <w:bCs/>
          <w:iCs/>
          <w:color w:val="002060"/>
          <w:shd w:val="clear" w:color="auto" w:fill="FFFFFF"/>
        </w:rPr>
        <w:t>POD, The Whole U and the CFD conduct needs assessments and i</w:t>
      </w:r>
      <w:r w:rsidRPr="00F72D35">
        <w:rPr>
          <w:rFonts w:cstheme="minorHAnsi"/>
          <w:bCs/>
          <w:iCs/>
          <w:color w:val="002060"/>
          <w:shd w:val="clear" w:color="auto" w:fill="FFFFFF"/>
        </w:rPr>
        <w:t xml:space="preserve">nternally, pulse surveys are used to measure belonging. </w:t>
      </w:r>
    </w:p>
    <w:p w14:paraId="60D63ECF" w14:textId="3888C961" w:rsidR="002C0F01" w:rsidRPr="005A6FEB" w:rsidRDefault="005A6FEB" w:rsidP="005A6FEB">
      <w:pPr>
        <w:ind w:left="720"/>
        <w:rPr>
          <w:color w:val="002060"/>
        </w:rPr>
      </w:pPr>
      <w:proofErr w:type="gramStart"/>
      <w:r w:rsidRPr="00F72D35">
        <w:rPr>
          <w:rFonts w:cstheme="minorHAnsi"/>
          <w:b/>
          <w:iCs/>
          <w:color w:val="002060"/>
          <w:shd w:val="clear" w:color="auto" w:fill="FFFFFF"/>
        </w:rPr>
        <w:t>Future plans</w:t>
      </w:r>
      <w:proofErr w:type="gramEnd"/>
      <w:r w:rsidRPr="00F72D35">
        <w:rPr>
          <w:rFonts w:cstheme="minorHAnsi"/>
          <w:b/>
          <w:iCs/>
          <w:color w:val="002060"/>
          <w:shd w:val="clear" w:color="auto" w:fill="FFFFFF"/>
        </w:rPr>
        <w:t xml:space="preserve"> to continue resourcing this important work: </w:t>
      </w:r>
      <w:r w:rsidRPr="00F72D35">
        <w:rPr>
          <w:color w:val="002060"/>
        </w:rPr>
        <w:t>DEI is being embedded into many roles at the university and our support of those efforts have increased tremendously; whether it is coaching or consulting a team on selection and hiring, or helping a new Diversity Council to form, we are regularly called upon to provide direction and support. We anticipate this need and our services in this area will continue to grow as we work to institutionalize diversity, equity and inclusion in our own systems and practices and foster systemic change across the UW.</w:t>
      </w:r>
    </w:p>
    <w:p w14:paraId="20F0135C" w14:textId="707706CF" w:rsidR="00F33849" w:rsidRPr="003F7317" w:rsidRDefault="00F33849" w:rsidP="0083055D">
      <w:pPr>
        <w:rPr>
          <w:rFonts w:cstheme="minorHAnsi"/>
          <w:bCs/>
          <w:i/>
          <w:color w:val="5B9BD5" w:themeColor="accent1"/>
          <w:sz w:val="20"/>
          <w:shd w:val="clear" w:color="auto" w:fill="FFFFFF"/>
        </w:rPr>
      </w:pPr>
    </w:p>
    <w:sectPr w:rsidR="00F33849" w:rsidRPr="003F7317" w:rsidSect="001D5FF1">
      <w:headerReference w:type="default" r:id="rId13"/>
      <w:footerReference w:type="default" r:id="rId14"/>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4B6E46" w:rsidRDefault="004B6E46" w:rsidP="00B32DDA">
      <w:pPr>
        <w:spacing w:after="0" w:line="240" w:lineRule="auto"/>
      </w:pPr>
      <w:r>
        <w:separator/>
      </w:r>
    </w:p>
  </w:endnote>
  <w:endnote w:type="continuationSeparator" w:id="0">
    <w:p w14:paraId="48F35483" w14:textId="77777777" w:rsidR="004B6E46" w:rsidRDefault="004B6E46" w:rsidP="00B32DDA">
      <w:pPr>
        <w:spacing w:after="0" w:line="240" w:lineRule="auto"/>
      </w:pPr>
      <w:r>
        <w:continuationSeparator/>
      </w:r>
    </w:p>
  </w:endnote>
  <w:endnote w:type="continuationNotice" w:id="1">
    <w:p w14:paraId="624DD8D6"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4B6E46" w:rsidRDefault="004B6E46" w:rsidP="00B32DDA">
      <w:pPr>
        <w:spacing w:after="0" w:line="240" w:lineRule="auto"/>
      </w:pPr>
      <w:r>
        <w:separator/>
      </w:r>
    </w:p>
  </w:footnote>
  <w:footnote w:type="continuationSeparator" w:id="0">
    <w:p w14:paraId="3833FAB2" w14:textId="77777777" w:rsidR="004B6E46" w:rsidRDefault="004B6E46" w:rsidP="00B32DDA">
      <w:pPr>
        <w:spacing w:after="0" w:line="240" w:lineRule="auto"/>
      </w:pPr>
      <w:r>
        <w:continuationSeparator/>
      </w:r>
    </w:p>
  </w:footnote>
  <w:footnote w:type="continuationNotice" w:id="1">
    <w:p w14:paraId="5DF1D0D3"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38AC8211"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5A6FEB">
      <w:rPr>
        <w:b/>
        <w:color w:val="FF0000"/>
        <w:sz w:val="24"/>
      </w:rPr>
      <w:t>UW 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29F174F"/>
    <w:multiLevelType w:val="hybridMultilevel"/>
    <w:tmpl w:val="E86C0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170C28"/>
    <w:multiLevelType w:val="hybridMultilevel"/>
    <w:tmpl w:val="F3E08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2068B8"/>
    <w:multiLevelType w:val="hybridMultilevel"/>
    <w:tmpl w:val="35404F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AF220A"/>
    <w:multiLevelType w:val="multilevel"/>
    <w:tmpl w:val="1F0C7BE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9E17D85"/>
    <w:multiLevelType w:val="hybridMultilevel"/>
    <w:tmpl w:val="45788F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15"/>
  </w:num>
  <w:num w:numId="3">
    <w:abstractNumId w:val="14"/>
  </w:num>
  <w:num w:numId="4">
    <w:abstractNumId w:val="19"/>
  </w:num>
  <w:num w:numId="5">
    <w:abstractNumId w:val="18"/>
  </w:num>
  <w:num w:numId="6">
    <w:abstractNumId w:val="6"/>
  </w:num>
  <w:num w:numId="7">
    <w:abstractNumId w:val="22"/>
  </w:num>
  <w:num w:numId="8">
    <w:abstractNumId w:val="17"/>
  </w:num>
  <w:num w:numId="9">
    <w:abstractNumId w:val="3"/>
  </w:num>
  <w:num w:numId="10">
    <w:abstractNumId w:val="23"/>
  </w:num>
  <w:num w:numId="11">
    <w:abstractNumId w:val="4"/>
  </w:num>
  <w:num w:numId="12">
    <w:abstractNumId w:val="0"/>
  </w:num>
  <w:num w:numId="13">
    <w:abstractNumId w:val="1"/>
  </w:num>
  <w:num w:numId="14">
    <w:abstractNumId w:val="8"/>
  </w:num>
  <w:num w:numId="15">
    <w:abstractNumId w:val="11"/>
  </w:num>
  <w:num w:numId="16">
    <w:abstractNumId w:val="10"/>
  </w:num>
  <w:num w:numId="17">
    <w:abstractNumId w:val="9"/>
  </w:num>
  <w:num w:numId="18">
    <w:abstractNumId w:val="20"/>
  </w:num>
  <w:num w:numId="19">
    <w:abstractNumId w:val="21"/>
  </w:num>
  <w:num w:numId="20">
    <w:abstractNumId w:val="24"/>
  </w:num>
  <w:num w:numId="2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16"/>
  </w:num>
  <w:num w:numId="24">
    <w:abstractNumId w:val="2"/>
  </w:num>
  <w:num w:numId="25">
    <w:abstractNumId w:val="7"/>
  </w:num>
  <w:num w:numId="26">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25AEC"/>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E559F"/>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4030"/>
    <w:rsid w:val="005652FA"/>
    <w:rsid w:val="00570EE2"/>
    <w:rsid w:val="00575AD3"/>
    <w:rsid w:val="005A56B3"/>
    <w:rsid w:val="005A5D7D"/>
    <w:rsid w:val="005A6FEB"/>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3055D"/>
    <w:rsid w:val="00842646"/>
    <w:rsid w:val="00843F9E"/>
    <w:rsid w:val="00857957"/>
    <w:rsid w:val="00866666"/>
    <w:rsid w:val="0087316F"/>
    <w:rsid w:val="00886046"/>
    <w:rsid w:val="0089023D"/>
    <w:rsid w:val="00893463"/>
    <w:rsid w:val="008A52B9"/>
    <w:rsid w:val="008A7761"/>
    <w:rsid w:val="008B2D40"/>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64D4"/>
    <w:rsid w:val="009A6B1D"/>
    <w:rsid w:val="009B22D3"/>
    <w:rsid w:val="009D7FF4"/>
    <w:rsid w:val="009E0A3C"/>
    <w:rsid w:val="009E117E"/>
    <w:rsid w:val="009F1C54"/>
    <w:rsid w:val="009F3D17"/>
    <w:rsid w:val="009F70E6"/>
    <w:rsid w:val="00A0237C"/>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character" w:customStyle="1" w:styleId="apple-converted-space">
    <w:name w:val="apple-converted-space"/>
    <w:basedOn w:val="DefaultParagraphFont"/>
    <w:rsid w:val="005A6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uw.edu/diversity/"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fm.wa.gov/sites/default/files/public/shr/Directives/WorkforceDiversityDirectiv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6</cp:revision>
  <dcterms:created xsi:type="dcterms:W3CDTF">2022-02-01T00:04:00Z</dcterms:created>
  <dcterms:modified xsi:type="dcterms:W3CDTF">2022-02-04T23:05:00Z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