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6FF65C43"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644917E0"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42B53334" w14:textId="2B93806F" w:rsidR="001B39EB" w:rsidRDefault="001B39EB" w:rsidP="001B39EB">
      <w:pPr>
        <w:ind w:left="360"/>
        <w:rPr>
          <w:color w:val="000000" w:themeColor="text1"/>
          <w:shd w:val="clear" w:color="auto" w:fill="FFFFFF"/>
        </w:rPr>
      </w:pPr>
      <w:r w:rsidRPr="00715E4C">
        <w:rPr>
          <w:color w:val="000000" w:themeColor="text1"/>
          <w:shd w:val="clear" w:color="auto" w:fill="FFFFFF"/>
        </w:rPr>
        <w:t xml:space="preserve">During the pandemic, </w:t>
      </w:r>
      <w:r w:rsidRPr="00A24BFF">
        <w:rPr>
          <w:color w:val="000000" w:themeColor="text1"/>
          <w:shd w:val="clear" w:color="auto" w:fill="FFFFFF"/>
        </w:rPr>
        <w:t xml:space="preserve">University Advancement (UA) </w:t>
      </w:r>
      <w:r>
        <w:rPr>
          <w:color w:val="000000" w:themeColor="text1"/>
          <w:shd w:val="clear" w:color="auto" w:fill="FFFFFF"/>
        </w:rPr>
        <w:t>made</w:t>
      </w:r>
      <w:r w:rsidRPr="00A24BFF">
        <w:rPr>
          <w:color w:val="000000" w:themeColor="text1"/>
          <w:shd w:val="clear" w:color="auto" w:fill="FFFFFF"/>
        </w:rPr>
        <w:t xml:space="preserve"> significant contributions and demonstrated strong performance in crisis communications, </w:t>
      </w:r>
      <w:r>
        <w:rPr>
          <w:color w:val="000000" w:themeColor="text1"/>
          <w:shd w:val="clear" w:color="auto" w:fill="FFFFFF"/>
        </w:rPr>
        <w:t xml:space="preserve">internal and leadership communications, media relations, and COVID-19 </w:t>
      </w:r>
      <w:r w:rsidRPr="00A24BFF">
        <w:rPr>
          <w:color w:val="000000" w:themeColor="text1"/>
          <w:shd w:val="clear" w:color="auto" w:fill="FFFFFF"/>
        </w:rPr>
        <w:t xml:space="preserve">and DEI-related </w:t>
      </w:r>
      <w:r>
        <w:rPr>
          <w:color w:val="000000" w:themeColor="text1"/>
          <w:shd w:val="clear" w:color="auto" w:fill="FFFFFF"/>
        </w:rPr>
        <w:t xml:space="preserve">engagement and </w:t>
      </w:r>
      <w:r w:rsidRPr="00A24BFF">
        <w:rPr>
          <w:color w:val="000000" w:themeColor="text1"/>
          <w:shd w:val="clear" w:color="auto" w:fill="FFFFFF"/>
        </w:rPr>
        <w:t>fundraising on behalf of the University</w:t>
      </w:r>
      <w:r>
        <w:rPr>
          <w:color w:val="000000" w:themeColor="text1"/>
          <w:shd w:val="clear" w:color="auto" w:fill="FFFFFF"/>
        </w:rPr>
        <w:t>, in addition to raising $719M overall in private support in FY21</w:t>
      </w:r>
      <w:r w:rsidRPr="00A24BFF">
        <w:rPr>
          <w:color w:val="000000" w:themeColor="text1"/>
          <w:shd w:val="clear" w:color="auto" w:fill="FFFFFF"/>
        </w:rPr>
        <w:t xml:space="preserve">. Although </w:t>
      </w:r>
      <w:r w:rsidRPr="00A24BFF">
        <w:rPr>
          <w:shd w:val="clear" w:color="auto" w:fill="FFFFFF"/>
        </w:rPr>
        <w:t xml:space="preserve">UA’s strategic plan </w:t>
      </w:r>
      <w:r>
        <w:rPr>
          <w:shd w:val="clear" w:color="auto" w:fill="FFFFFF"/>
        </w:rPr>
        <w:t xml:space="preserve">has </w:t>
      </w:r>
      <w:r w:rsidRPr="00A24BFF">
        <w:rPr>
          <w:shd w:val="clear" w:color="auto" w:fill="FFFFFF"/>
        </w:rPr>
        <w:t>not change</w:t>
      </w:r>
      <w:r>
        <w:rPr>
          <w:shd w:val="clear" w:color="auto" w:fill="FFFFFF"/>
        </w:rPr>
        <w:t>d</w:t>
      </w:r>
      <w:r w:rsidRPr="00A24BFF">
        <w:rPr>
          <w:shd w:val="clear" w:color="auto" w:fill="FFFFFF"/>
        </w:rPr>
        <w:t>, much attention and focus w</w:t>
      </w:r>
      <w:r>
        <w:rPr>
          <w:shd w:val="clear" w:color="auto" w:fill="FFFFFF"/>
        </w:rPr>
        <w:t>ere</w:t>
      </w:r>
      <w:r w:rsidRPr="00A24BFF">
        <w:rPr>
          <w:shd w:val="clear" w:color="auto" w:fill="FFFFFF"/>
        </w:rPr>
        <w:t xml:space="preserve"> dedicated to </w:t>
      </w:r>
      <w:r>
        <w:rPr>
          <w:shd w:val="clear" w:color="auto" w:fill="FFFFFF"/>
        </w:rPr>
        <w:t xml:space="preserve">COVID-19 </w:t>
      </w:r>
      <w:r w:rsidRPr="00A24BFF">
        <w:rPr>
          <w:shd w:val="clear" w:color="auto" w:fill="FFFFFF"/>
        </w:rPr>
        <w:t>response efforts</w:t>
      </w:r>
      <w:r>
        <w:rPr>
          <w:shd w:val="clear" w:color="auto" w:fill="FFFFFF"/>
        </w:rPr>
        <w:t xml:space="preserve">, and some priority work, such as </w:t>
      </w:r>
      <w:r w:rsidRPr="00A24BFF">
        <w:rPr>
          <w:color w:val="000000" w:themeColor="text1"/>
          <w:shd w:val="clear" w:color="auto" w:fill="FFFFFF"/>
        </w:rPr>
        <w:t>b</w:t>
      </w:r>
      <w:r>
        <w:rPr>
          <w:color w:val="000000" w:themeColor="text1"/>
          <w:shd w:val="clear" w:color="auto" w:fill="FFFFFF"/>
        </w:rPr>
        <w:t>rand calibration, profound engagement at scale, and organizational effectiveness efforts were slowed or paused. These activities were resurrected in FY22 and will carry over into FY23.</w:t>
      </w:r>
    </w:p>
    <w:p w14:paraId="3C7A334C" w14:textId="77777777" w:rsidR="001B39EB" w:rsidRPr="00972B72" w:rsidRDefault="001B39EB" w:rsidP="001B39EB">
      <w:pPr>
        <w:ind w:left="360"/>
        <w:rPr>
          <w:b/>
          <w:shd w:val="clear" w:color="auto" w:fill="FFFFFF"/>
        </w:rPr>
      </w:pPr>
      <w:r w:rsidRPr="00972B72">
        <w:rPr>
          <w:b/>
          <w:color w:val="000000" w:themeColor="text1"/>
          <w:shd w:val="clear" w:color="auto" w:fill="FFFFFF"/>
        </w:rPr>
        <w:t>UA strategic priorities:</w:t>
      </w:r>
    </w:p>
    <w:p w14:paraId="370EC98B" w14:textId="77777777" w:rsidR="001B39EB" w:rsidRPr="0033569F" w:rsidRDefault="001B39EB" w:rsidP="001B39EB">
      <w:pPr>
        <w:pStyle w:val="ListParagraph"/>
        <w:numPr>
          <w:ilvl w:val="0"/>
          <w:numId w:val="22"/>
        </w:numPr>
        <w:shd w:val="clear" w:color="auto" w:fill="FFFFFF"/>
        <w:spacing w:after="218" w:line="240" w:lineRule="auto"/>
        <w:rPr>
          <w:shd w:val="clear" w:color="auto" w:fill="FFFFFF"/>
        </w:rPr>
      </w:pPr>
      <w:r>
        <w:rPr>
          <w:shd w:val="clear" w:color="auto" w:fill="FFFFFF"/>
        </w:rPr>
        <w:t>Embed</w:t>
      </w:r>
      <w:r w:rsidRPr="0033569F">
        <w:rPr>
          <w:shd w:val="clear" w:color="auto" w:fill="FFFFFF"/>
        </w:rPr>
        <w:t xml:space="preserve"> </w:t>
      </w:r>
      <w:r>
        <w:rPr>
          <w:shd w:val="clear" w:color="auto" w:fill="FFFFFF"/>
        </w:rPr>
        <w:t>UA’s</w:t>
      </w:r>
      <w:r w:rsidRPr="0033569F">
        <w:rPr>
          <w:shd w:val="clear" w:color="auto" w:fill="FFFFFF"/>
        </w:rPr>
        <w:t xml:space="preserve"> DEI Visions, Values, and Actions </w:t>
      </w:r>
      <w:r>
        <w:rPr>
          <w:shd w:val="clear" w:color="auto" w:fill="FFFFFF"/>
        </w:rPr>
        <w:t xml:space="preserve">and the </w:t>
      </w:r>
      <w:r w:rsidRPr="0033569F">
        <w:rPr>
          <w:shd w:val="clear" w:color="auto" w:fill="FFFFFF"/>
        </w:rPr>
        <w:t xml:space="preserve">DEI Strategic Plan into all aspects of </w:t>
      </w:r>
      <w:r>
        <w:rPr>
          <w:shd w:val="clear" w:color="auto" w:fill="FFFFFF"/>
        </w:rPr>
        <w:t>UA in order to</w:t>
      </w:r>
      <w:r w:rsidRPr="0033569F">
        <w:rPr>
          <w:shd w:val="clear" w:color="auto" w:fill="FFFFFF"/>
        </w:rPr>
        <w:t xml:space="preserve"> increase employees’ sense of belonging, enhance retention, </w:t>
      </w:r>
      <w:r>
        <w:rPr>
          <w:shd w:val="clear" w:color="auto" w:fill="FFFFFF"/>
        </w:rPr>
        <w:t xml:space="preserve">and </w:t>
      </w:r>
      <w:r w:rsidRPr="0033569F">
        <w:rPr>
          <w:shd w:val="clear" w:color="auto" w:fill="FFFFFF"/>
        </w:rPr>
        <w:t xml:space="preserve">improve our ability to serve our stakeholders and </w:t>
      </w:r>
      <w:r>
        <w:rPr>
          <w:shd w:val="clear" w:color="auto" w:fill="FFFFFF"/>
        </w:rPr>
        <w:t>state.</w:t>
      </w:r>
    </w:p>
    <w:p w14:paraId="4D56B8A8" w14:textId="77777777" w:rsidR="001B39EB" w:rsidRPr="0033569F" w:rsidRDefault="001B39EB" w:rsidP="001B39EB">
      <w:pPr>
        <w:pStyle w:val="ListParagraph"/>
        <w:numPr>
          <w:ilvl w:val="0"/>
          <w:numId w:val="22"/>
        </w:numPr>
        <w:shd w:val="clear" w:color="auto" w:fill="FFFFFF"/>
        <w:spacing w:before="435" w:after="218" w:line="240" w:lineRule="auto"/>
        <w:outlineLvl w:val="2"/>
        <w:rPr>
          <w:shd w:val="clear" w:color="auto" w:fill="FFFFFF"/>
        </w:rPr>
      </w:pPr>
      <w:r w:rsidRPr="0033569F">
        <w:rPr>
          <w:shd w:val="clear" w:color="auto" w:fill="FFFFFF"/>
        </w:rPr>
        <w:t>Develop a comprehensive approach to advancing University Initiatives across units and central </w:t>
      </w:r>
      <w:r>
        <w:rPr>
          <w:shd w:val="clear" w:color="auto" w:fill="FFFFFF"/>
        </w:rPr>
        <w:t>UA</w:t>
      </w:r>
      <w:r w:rsidRPr="0033569F">
        <w:rPr>
          <w:shd w:val="clear" w:color="auto" w:fill="FFFFFF"/>
        </w:rPr>
        <w:t> in order to increase awareness among key audiences and inspire private and public support</w:t>
      </w:r>
      <w:r>
        <w:rPr>
          <w:shd w:val="clear" w:color="auto" w:fill="FFFFFF"/>
        </w:rPr>
        <w:t>.</w:t>
      </w:r>
    </w:p>
    <w:p w14:paraId="12F6D2BC" w14:textId="77777777" w:rsidR="001B39EB" w:rsidRPr="0033569F" w:rsidRDefault="001B39EB" w:rsidP="001B39EB">
      <w:pPr>
        <w:pStyle w:val="ListParagraph"/>
        <w:numPr>
          <w:ilvl w:val="0"/>
          <w:numId w:val="22"/>
        </w:numPr>
        <w:shd w:val="clear" w:color="auto" w:fill="FFFFFF"/>
        <w:spacing w:before="435" w:after="218" w:line="240" w:lineRule="auto"/>
        <w:outlineLvl w:val="2"/>
        <w:rPr>
          <w:shd w:val="clear" w:color="auto" w:fill="FFFFFF"/>
        </w:rPr>
      </w:pPr>
      <w:r w:rsidRPr="0033569F">
        <w:rPr>
          <w:shd w:val="clear" w:color="auto" w:fill="FFFFFF"/>
        </w:rPr>
        <w:t>Evolve UW’s fundraising model in order to be more inclusive, promote giving that maximizes UW’s impact, and maintain high levels of private support.</w:t>
      </w:r>
      <w:r>
        <w:rPr>
          <w:shd w:val="clear" w:color="auto" w:fill="FFFFFF"/>
        </w:rPr>
        <w:t xml:space="preserve">  </w:t>
      </w:r>
    </w:p>
    <w:p w14:paraId="21FF37A3" w14:textId="77777777" w:rsidR="001B39EB" w:rsidRPr="0033569F" w:rsidRDefault="001B39EB" w:rsidP="001B39EB">
      <w:pPr>
        <w:pStyle w:val="ListParagraph"/>
        <w:numPr>
          <w:ilvl w:val="0"/>
          <w:numId w:val="22"/>
        </w:numPr>
        <w:shd w:val="clear" w:color="auto" w:fill="FFFFFF"/>
        <w:spacing w:before="435" w:after="218" w:line="240" w:lineRule="auto"/>
        <w:outlineLvl w:val="2"/>
        <w:rPr>
          <w:shd w:val="clear" w:color="auto" w:fill="FFFFFF"/>
        </w:rPr>
      </w:pPr>
      <w:r w:rsidRPr="0033569F">
        <w:rPr>
          <w:shd w:val="clear" w:color="auto" w:fill="FFFFFF"/>
        </w:rPr>
        <w:t xml:space="preserve">Enhance the flexibility and effectiveness of </w:t>
      </w:r>
      <w:r>
        <w:rPr>
          <w:shd w:val="clear" w:color="auto" w:fill="FFFFFF"/>
        </w:rPr>
        <w:t>UA</w:t>
      </w:r>
      <w:r w:rsidRPr="0033569F">
        <w:rPr>
          <w:shd w:val="clear" w:color="auto" w:fill="FFFFFF"/>
        </w:rPr>
        <w:t> in order for it to operate within its means and improve </w:t>
      </w:r>
      <w:r>
        <w:rPr>
          <w:shd w:val="clear" w:color="auto" w:fill="FFFFFF"/>
        </w:rPr>
        <w:t>the</w:t>
      </w:r>
      <w:r w:rsidRPr="0033569F">
        <w:rPr>
          <w:shd w:val="clear" w:color="auto" w:fill="FFFFFF"/>
        </w:rPr>
        <w:t xml:space="preserve"> ability to support </w:t>
      </w:r>
      <w:r>
        <w:rPr>
          <w:shd w:val="clear" w:color="auto" w:fill="FFFFFF"/>
        </w:rPr>
        <w:t xml:space="preserve">UW </w:t>
      </w:r>
      <w:r w:rsidRPr="0033569F">
        <w:rPr>
          <w:shd w:val="clear" w:color="auto" w:fill="FFFFFF"/>
        </w:rPr>
        <w:t>emerging priorities as identified by UW executive leadership</w:t>
      </w:r>
      <w:r>
        <w:rPr>
          <w:shd w:val="clear" w:color="auto" w:fill="FFFFFF"/>
        </w:rPr>
        <w:t>.</w:t>
      </w:r>
    </w:p>
    <w:p w14:paraId="57062AAD" w14:textId="77777777" w:rsidR="001B39EB" w:rsidRPr="0033569F" w:rsidRDefault="001B39EB" w:rsidP="001B39EB">
      <w:pPr>
        <w:pStyle w:val="ListParagraph"/>
        <w:numPr>
          <w:ilvl w:val="0"/>
          <w:numId w:val="22"/>
        </w:numPr>
        <w:shd w:val="clear" w:color="auto" w:fill="FFFFFF"/>
        <w:spacing w:before="435" w:after="218" w:line="240" w:lineRule="auto"/>
        <w:outlineLvl w:val="2"/>
        <w:rPr>
          <w:shd w:val="clear" w:color="auto" w:fill="FFFFFF"/>
        </w:rPr>
      </w:pPr>
      <w:r w:rsidRPr="0033569F">
        <w:rPr>
          <w:shd w:val="clear" w:color="auto" w:fill="FFFFFF"/>
        </w:rPr>
        <w:t xml:space="preserve">Develop and sustain a community of engaged UW champions – at scale – based on </w:t>
      </w:r>
      <w:r>
        <w:rPr>
          <w:shd w:val="clear" w:color="auto" w:fill="FFFFFF"/>
        </w:rPr>
        <w:t xml:space="preserve">the </w:t>
      </w:r>
      <w:r w:rsidRPr="0033569F">
        <w:rPr>
          <w:shd w:val="clear" w:color="auto" w:fill="FFFFFF"/>
        </w:rPr>
        <w:t>profound engagement philosophy, with a focus on engaging historically underserved groups in order to advance their and the UW’s values and priorities</w:t>
      </w:r>
      <w:r>
        <w:rPr>
          <w:shd w:val="clear" w:color="auto" w:fill="FFFFFF"/>
        </w:rPr>
        <w:t>.</w:t>
      </w:r>
      <w:r w:rsidRPr="0033569F">
        <w:rPr>
          <w:shd w:val="clear" w:color="auto" w:fill="FFFFFF"/>
        </w:rPr>
        <w:t> </w:t>
      </w:r>
    </w:p>
    <w:p w14:paraId="22A00D1C" w14:textId="77777777" w:rsidR="001B39EB" w:rsidRPr="00AE0769" w:rsidRDefault="001B39EB" w:rsidP="001B39EB">
      <w:pPr>
        <w:ind w:left="360"/>
        <w:rPr>
          <w:shd w:val="clear" w:color="auto" w:fill="FFFFFF"/>
        </w:rPr>
      </w:pPr>
      <w:r w:rsidRPr="00D20B27">
        <w:rPr>
          <w:b/>
          <w:shd w:val="clear" w:color="auto" w:fill="FFFFFF"/>
        </w:rPr>
        <w:t>Budget/resourcing processes:</w:t>
      </w:r>
      <w:r w:rsidRPr="00D20B27">
        <w:rPr>
          <w:shd w:val="clear" w:color="auto" w:fill="FFFFFF"/>
        </w:rPr>
        <w:t xml:space="preserve"> UA adhered to the UW’s directives on nonessential spending and hiring. With those directives</w:t>
      </w:r>
      <w:r>
        <w:rPr>
          <w:shd w:val="clear" w:color="auto" w:fill="FFFFFF"/>
        </w:rPr>
        <w:t xml:space="preserve"> lifted</w:t>
      </w:r>
      <w:r w:rsidRPr="00D20B27">
        <w:rPr>
          <w:shd w:val="clear" w:color="auto" w:fill="FFFFFF"/>
        </w:rPr>
        <w:t xml:space="preserve">, UA has returned to pre-pandemic budgeting processes, but the allocation of resources </w:t>
      </w:r>
      <w:r w:rsidRPr="00AE0769">
        <w:rPr>
          <w:shd w:val="clear" w:color="auto" w:fill="FFFFFF"/>
        </w:rPr>
        <w:t>continues to shift to align with strategic priorities.</w:t>
      </w:r>
    </w:p>
    <w:p w14:paraId="7123B1FA" w14:textId="77777777" w:rsidR="001B39EB" w:rsidRPr="00AE0769" w:rsidRDefault="001B39EB" w:rsidP="001B39EB">
      <w:pPr>
        <w:ind w:left="360"/>
        <w:rPr>
          <w:shd w:val="clear" w:color="auto" w:fill="FFFFFF"/>
        </w:rPr>
      </w:pPr>
      <w:r w:rsidRPr="102654CF">
        <w:rPr>
          <w:b/>
          <w:bCs/>
          <w:shd w:val="clear" w:color="auto" w:fill="FFFFFF"/>
        </w:rPr>
        <w:t>Programmatic offerings:</w:t>
      </w:r>
      <w:r w:rsidRPr="00D20B27">
        <w:rPr>
          <w:shd w:val="clear" w:color="auto" w:fill="FFFFFF"/>
        </w:rPr>
        <w:t xml:space="preserve"> Some offerings, such as in-person events, were halted during the first year of the </w:t>
      </w:r>
      <w:r w:rsidRPr="00AE0769">
        <w:rPr>
          <w:shd w:val="clear" w:color="auto" w:fill="FFFFFF"/>
        </w:rPr>
        <w:t xml:space="preserve">pandemic. Others were offered in </w:t>
      </w:r>
      <w:r>
        <w:rPr>
          <w:shd w:val="clear" w:color="auto" w:fill="FFFFFF"/>
        </w:rPr>
        <w:t xml:space="preserve">online </w:t>
      </w:r>
      <w:r w:rsidRPr="00AE0769">
        <w:rPr>
          <w:shd w:val="clear" w:color="auto" w:fill="FFFFFF"/>
        </w:rPr>
        <w:t xml:space="preserve">formats. </w:t>
      </w:r>
      <w:r>
        <w:rPr>
          <w:shd w:val="clear" w:color="auto" w:fill="FFFFFF"/>
        </w:rPr>
        <w:t xml:space="preserve">Post-pandemic, stakeholders expect in-person, online, and hybrid programming. This broadens </w:t>
      </w:r>
      <w:r w:rsidRPr="00AE0769">
        <w:rPr>
          <w:shd w:val="clear" w:color="auto" w:fill="FFFFFF"/>
        </w:rPr>
        <w:t>engagement</w:t>
      </w:r>
      <w:r>
        <w:rPr>
          <w:shd w:val="clear" w:color="auto" w:fill="FFFFFF"/>
        </w:rPr>
        <w:t xml:space="preserve"> – and comes with increased costs.</w:t>
      </w:r>
      <w:r w:rsidRPr="00AE0769">
        <w:rPr>
          <w:shd w:val="clear" w:color="auto" w:fill="FFFFFF"/>
        </w:rPr>
        <w:t xml:space="preserve">  </w:t>
      </w:r>
    </w:p>
    <w:p w14:paraId="016FB69D" w14:textId="77777777" w:rsidR="001B39EB" w:rsidRDefault="001B39EB" w:rsidP="001B39EB">
      <w:pPr>
        <w:pStyle w:val="ListParagraph"/>
        <w:ind w:left="1080"/>
        <w:rPr>
          <w:shd w:val="clear" w:color="auto" w:fill="FFFFFF"/>
        </w:rPr>
      </w:pPr>
    </w:p>
    <w:p w14:paraId="35BD6300" w14:textId="77777777" w:rsidR="001B39EB" w:rsidRPr="001313C0" w:rsidRDefault="001B39EB" w:rsidP="001B39EB">
      <w:pPr>
        <w:pStyle w:val="ListParagraph"/>
        <w:ind w:left="1080"/>
        <w:rPr>
          <w:b/>
          <w:shd w:val="clear" w:color="auto" w:fill="FFFFFF"/>
        </w:rPr>
      </w:pPr>
      <w:r w:rsidRPr="001313C0">
        <w:rPr>
          <w:b/>
          <w:shd w:val="clear" w:color="auto" w:fill="FFFFFF"/>
        </w:rPr>
        <w:t>Impacts on populations served:</w:t>
      </w:r>
    </w:p>
    <w:p w14:paraId="3D8BD928" w14:textId="77777777" w:rsidR="001B39EB" w:rsidRPr="0071092B" w:rsidRDefault="001B39EB" w:rsidP="001B39EB">
      <w:pPr>
        <w:spacing w:after="0" w:line="240" w:lineRule="auto"/>
        <w:ind w:left="1800"/>
        <w:rPr>
          <w:shd w:val="clear" w:color="auto" w:fill="FFFFFF"/>
        </w:rPr>
      </w:pPr>
      <w:r>
        <w:rPr>
          <w:shd w:val="clear" w:color="auto" w:fill="FFFFFF"/>
        </w:rPr>
        <w:t xml:space="preserve">Donors - Donors continued giving, and stakeholders engaged, in both in-person and digital/remote formats. The </w:t>
      </w:r>
      <w:r w:rsidRPr="0071092B">
        <w:rPr>
          <w:shd w:val="clear" w:color="auto" w:fill="FFFFFF"/>
        </w:rPr>
        <w:t xml:space="preserve">ROI for FY20 and FY21 were higher than the five-year average ($8.18 </w:t>
      </w:r>
      <w:r>
        <w:rPr>
          <w:shd w:val="clear" w:color="auto" w:fill="FFFFFF"/>
        </w:rPr>
        <w:t xml:space="preserve">in FY21 </w:t>
      </w:r>
      <w:r w:rsidRPr="0071092B">
        <w:rPr>
          <w:shd w:val="clear" w:color="auto" w:fill="FFFFFF"/>
        </w:rPr>
        <w:t xml:space="preserve">compared to </w:t>
      </w:r>
      <w:r>
        <w:rPr>
          <w:shd w:val="clear" w:color="auto" w:fill="FFFFFF"/>
        </w:rPr>
        <w:t xml:space="preserve">the $7.88 </w:t>
      </w:r>
      <w:r w:rsidRPr="0071092B">
        <w:rPr>
          <w:shd w:val="clear" w:color="auto" w:fill="FFFFFF"/>
        </w:rPr>
        <w:t>average)</w:t>
      </w:r>
      <w:r>
        <w:rPr>
          <w:shd w:val="clear" w:color="auto" w:fill="FFFFFF"/>
        </w:rPr>
        <w:t>.</w:t>
      </w:r>
    </w:p>
    <w:p w14:paraId="3916B6E3" w14:textId="77777777" w:rsidR="001B39EB" w:rsidRDefault="001B39EB" w:rsidP="001B39EB">
      <w:pPr>
        <w:pStyle w:val="ListParagraph"/>
        <w:numPr>
          <w:ilvl w:val="0"/>
          <w:numId w:val="23"/>
        </w:numPr>
        <w:spacing w:after="0" w:line="240" w:lineRule="auto"/>
        <w:ind w:left="1800"/>
        <w:rPr>
          <w:shd w:val="clear" w:color="auto" w:fill="FFFFFF"/>
        </w:rPr>
      </w:pPr>
      <w:r>
        <w:rPr>
          <w:shd w:val="clear" w:color="auto" w:fill="FFFFFF"/>
        </w:rPr>
        <w:t>Campus Units/Partners – Central UA did not decrease operational funding for the units during the pandemic. Sponsorship and Trademarks &amp; Licensing revenue was temporarily reduced, decreasing distributions for programs/events to numerous units. These returned to normal levels in FY22.</w:t>
      </w:r>
    </w:p>
    <w:p w14:paraId="3772F6C3" w14:textId="77777777" w:rsidR="001B39EB" w:rsidRDefault="001B39EB" w:rsidP="001B39EB">
      <w:pPr>
        <w:pStyle w:val="ListParagraph"/>
        <w:numPr>
          <w:ilvl w:val="0"/>
          <w:numId w:val="23"/>
        </w:numPr>
        <w:ind w:left="1800"/>
        <w:rPr>
          <w:shd w:val="clear" w:color="auto" w:fill="FFFFFF"/>
        </w:rPr>
      </w:pPr>
      <w:r>
        <w:rPr>
          <w:shd w:val="clear" w:color="auto" w:fill="FFFFFF"/>
        </w:rPr>
        <w:lastRenderedPageBreak/>
        <w:t>Employees – Staff learned that they could work productively in a remote and hybrid environment, although many have been adversely impacted by the pandemic personally and professionally. Increased workloads and a competitive environment for key positions contributed to staff departures, and the inability to replace departing staff expeditiously continues to compound workloads.</w:t>
      </w:r>
    </w:p>
    <w:p w14:paraId="6325C769" w14:textId="2739A035" w:rsidR="002C0F01" w:rsidRDefault="001B39EB" w:rsidP="001B39EB">
      <w:pPr>
        <w:pStyle w:val="ListParagraph"/>
        <w:numPr>
          <w:ilvl w:val="0"/>
          <w:numId w:val="23"/>
        </w:numPr>
        <w:ind w:left="1800"/>
        <w:rPr>
          <w:shd w:val="clear" w:color="auto" w:fill="FFFFFF"/>
        </w:rPr>
      </w:pPr>
      <w:r>
        <w:rPr>
          <w:shd w:val="clear" w:color="auto" w:fill="FFFFFF"/>
        </w:rPr>
        <w:t>Students – Record applications with a high yield were received for the 2021-2022 academic year. The world witnessed the UW’s leadership and research prowess, including campus safety measures through its COVID-19 response/preparedness, which brand research linked to student interest.</w:t>
      </w:r>
    </w:p>
    <w:p w14:paraId="68C3EA1E" w14:textId="77777777" w:rsidR="001B39EB" w:rsidRPr="002C0F01" w:rsidRDefault="001B39EB" w:rsidP="001B39EB">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387FA180" w14:textId="77777777" w:rsidR="001B39EB" w:rsidRDefault="001B39EB" w:rsidP="001B39EB">
      <w:pPr>
        <w:ind w:left="720"/>
        <w:rPr>
          <w:b/>
        </w:rPr>
      </w:pPr>
      <w:r>
        <w:rPr>
          <w:shd w:val="clear" w:color="auto" w:fill="FFFFFF"/>
        </w:rPr>
        <w:t>For several years now, University Advancement has centered diversity, equity, and inclusion both as a strategic priority on its own and as a thread running through every aspect of our organization – from talent acquisition and retention to operational processes, from programming and content to budget decisions. Each discipline has a DEI committee, whose chairs are paid a stipend for this additional work. Programming has been developed in which staff can participate. Communicating and welcoming our community with an equity lens is an important component in storytelling, engagement, and fundraising. UA will continue to build on its investments in this important work.</w:t>
      </w:r>
    </w:p>
    <w:p w14:paraId="136372FC" w14:textId="77777777" w:rsidR="001B39EB" w:rsidRDefault="001B39EB" w:rsidP="001B39EB">
      <w:pPr>
        <w:ind w:left="720"/>
        <w:rPr>
          <w:b/>
        </w:rPr>
      </w:pPr>
      <w:r w:rsidRPr="00BE2A04">
        <w:rPr>
          <w:b/>
        </w:rPr>
        <w:t>Qualitative Summary of UA Resources:</w:t>
      </w:r>
    </w:p>
    <w:p w14:paraId="693EEBF6" w14:textId="77777777" w:rsidR="001B39EB" w:rsidRPr="00BE2A04" w:rsidRDefault="001B39EB" w:rsidP="001B39EB">
      <w:pPr>
        <w:pStyle w:val="ListParagraph"/>
        <w:numPr>
          <w:ilvl w:val="0"/>
          <w:numId w:val="24"/>
        </w:numPr>
      </w:pPr>
      <w:r w:rsidRPr="00BE2A04">
        <w:t>Two dedicated positions</w:t>
      </w:r>
      <w:r>
        <w:t xml:space="preserve"> to lead DEI work</w:t>
      </w:r>
    </w:p>
    <w:p w14:paraId="2DEF21F9" w14:textId="77777777" w:rsidR="001B39EB" w:rsidRDefault="001B39EB" w:rsidP="001B39EB">
      <w:pPr>
        <w:pStyle w:val="ListParagraph"/>
        <w:numPr>
          <w:ilvl w:val="0"/>
          <w:numId w:val="24"/>
        </w:numPr>
      </w:pPr>
      <w:r>
        <w:t xml:space="preserve">Stipends for leadership of </w:t>
      </w:r>
      <w:r w:rsidRPr="00BE2A04">
        <w:t xml:space="preserve">Advancement </w:t>
      </w:r>
      <w:r>
        <w:t>Equity Council and</w:t>
      </w:r>
      <w:r w:rsidRPr="00BE2A04">
        <w:t xml:space="preserve"> DEI </w:t>
      </w:r>
      <w:r>
        <w:t xml:space="preserve">committees </w:t>
      </w:r>
      <w:r w:rsidRPr="00BE2A04">
        <w:t>in each major discipline</w:t>
      </w:r>
    </w:p>
    <w:p w14:paraId="49F70C9F" w14:textId="77777777" w:rsidR="001B39EB" w:rsidRDefault="001B39EB" w:rsidP="001B39EB">
      <w:pPr>
        <w:pStyle w:val="ListParagraph"/>
        <w:numPr>
          <w:ilvl w:val="0"/>
          <w:numId w:val="24"/>
        </w:numPr>
      </w:pPr>
      <w:r>
        <w:t>Education and training sessions for staff and volunteers featuring outside experts and facilitators who are compensated for their work</w:t>
      </w:r>
    </w:p>
    <w:p w14:paraId="25AC0E53" w14:textId="77777777" w:rsidR="001B39EB" w:rsidRDefault="001B39EB" w:rsidP="001B39EB">
      <w:pPr>
        <w:pStyle w:val="ListParagraph"/>
        <w:numPr>
          <w:ilvl w:val="0"/>
          <w:numId w:val="24"/>
        </w:numPr>
      </w:pPr>
      <w:r>
        <w:t>Investments in leadership development through POD and external partners</w:t>
      </w:r>
    </w:p>
    <w:p w14:paraId="54AE4278" w14:textId="77777777" w:rsidR="001B39EB" w:rsidRDefault="001B39EB" w:rsidP="001B39EB">
      <w:pPr>
        <w:pStyle w:val="ListParagraph"/>
        <w:numPr>
          <w:ilvl w:val="0"/>
          <w:numId w:val="24"/>
        </w:numPr>
      </w:pPr>
      <w:r>
        <w:t>Ongoing opportunities for personal growth through optional programming</w:t>
      </w:r>
    </w:p>
    <w:p w14:paraId="3C38D7E6" w14:textId="77777777" w:rsidR="001B39EB" w:rsidRDefault="001B39EB" w:rsidP="001B39EB">
      <w:pPr>
        <w:pStyle w:val="ListParagraph"/>
        <w:numPr>
          <w:ilvl w:val="0"/>
          <w:numId w:val="24"/>
        </w:numPr>
      </w:pPr>
      <w:r>
        <w:t>Exploration of evolving fundraising practices</w:t>
      </w:r>
    </w:p>
    <w:p w14:paraId="6BBF7861" w14:textId="77777777" w:rsidR="001B39EB" w:rsidRPr="00BE2A04" w:rsidRDefault="001B39EB" w:rsidP="001B39EB">
      <w:pPr>
        <w:ind w:left="720"/>
        <w:rPr>
          <w:b/>
        </w:rPr>
      </w:pPr>
      <w:r w:rsidRPr="00BE2A04">
        <w:rPr>
          <w:b/>
        </w:rPr>
        <w:t xml:space="preserve">How do you assess impacts of </w:t>
      </w:r>
      <w:proofErr w:type="gramStart"/>
      <w:r w:rsidRPr="00BE2A04">
        <w:rPr>
          <w:b/>
        </w:rPr>
        <w:t>work:</w:t>
      </w:r>
      <w:proofErr w:type="gramEnd"/>
    </w:p>
    <w:p w14:paraId="2B7A1BAC" w14:textId="77777777" w:rsidR="001B39EB" w:rsidRDefault="001B39EB" w:rsidP="001B39EB">
      <w:pPr>
        <w:pStyle w:val="ListParagraph"/>
        <w:numPr>
          <w:ilvl w:val="0"/>
          <w:numId w:val="25"/>
        </w:numPr>
        <w:ind w:left="1440"/>
      </w:pPr>
      <w:r>
        <w:t>Annual Advancement DEI survey (FY22 first year)</w:t>
      </w:r>
    </w:p>
    <w:p w14:paraId="068467D6" w14:textId="77777777" w:rsidR="001B39EB" w:rsidRDefault="001B39EB" w:rsidP="001B39EB">
      <w:pPr>
        <w:pStyle w:val="ListParagraph"/>
        <w:numPr>
          <w:ilvl w:val="0"/>
          <w:numId w:val="25"/>
        </w:numPr>
        <w:ind w:left="1440"/>
      </w:pPr>
      <w:r>
        <w:t>DEI-specific questions in annual Gallup survey</w:t>
      </w:r>
    </w:p>
    <w:p w14:paraId="209021C2" w14:textId="77777777" w:rsidR="001B39EB" w:rsidRDefault="001B39EB" w:rsidP="001B39EB">
      <w:pPr>
        <w:pStyle w:val="ListParagraph"/>
        <w:numPr>
          <w:ilvl w:val="0"/>
          <w:numId w:val="25"/>
        </w:numPr>
        <w:ind w:left="1440"/>
      </w:pPr>
      <w:r>
        <w:t>Feedback and discussions in DEI committees/teams</w:t>
      </w:r>
    </w:p>
    <w:p w14:paraId="20F0135C" w14:textId="4BB97E53" w:rsidR="00F33849" w:rsidRPr="00BD3131" w:rsidRDefault="001B39EB" w:rsidP="00BD3131">
      <w:pPr>
        <w:pStyle w:val="ListParagraph"/>
        <w:rPr>
          <w:color w:val="000000" w:themeColor="text1"/>
        </w:rPr>
      </w:pPr>
      <w:r>
        <w:t>New employee hires, especially at senior leadership levels</w:t>
      </w:r>
    </w:p>
    <w:sectPr w:rsidR="00F33849" w:rsidRPr="00BD3131"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24288F72"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78763F">
      <w:rPr>
        <w:b/>
        <w:color w:val="FF0000"/>
        <w:sz w:val="24"/>
      </w:rPr>
      <w:t>University Advancement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935984"/>
    <w:multiLevelType w:val="hybridMultilevel"/>
    <w:tmpl w:val="CCBCF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A233A"/>
    <w:multiLevelType w:val="hybridMultilevel"/>
    <w:tmpl w:val="22E4C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35108D"/>
    <w:multiLevelType w:val="hybridMultilevel"/>
    <w:tmpl w:val="2C503C8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6757F3"/>
    <w:multiLevelType w:val="hybridMultilevel"/>
    <w:tmpl w:val="99B42F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C07CC5"/>
    <w:multiLevelType w:val="hybridMultilevel"/>
    <w:tmpl w:val="5AF010C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B347D9"/>
    <w:multiLevelType w:val="hybridMultilevel"/>
    <w:tmpl w:val="4ABA53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982435C"/>
    <w:multiLevelType w:val="hybridMultilevel"/>
    <w:tmpl w:val="C952D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901CC7"/>
    <w:multiLevelType w:val="hybridMultilevel"/>
    <w:tmpl w:val="6DB64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9"/>
  </w:num>
  <w:num w:numId="3">
    <w:abstractNumId w:val="18"/>
  </w:num>
  <w:num w:numId="4">
    <w:abstractNumId w:val="22"/>
  </w:num>
  <w:num w:numId="5">
    <w:abstractNumId w:val="21"/>
  </w:num>
  <w:num w:numId="6">
    <w:abstractNumId w:val="6"/>
  </w:num>
  <w:num w:numId="7">
    <w:abstractNumId w:val="26"/>
  </w:num>
  <w:num w:numId="8">
    <w:abstractNumId w:val="20"/>
  </w:num>
  <w:num w:numId="9">
    <w:abstractNumId w:val="2"/>
  </w:num>
  <w:num w:numId="10">
    <w:abstractNumId w:val="27"/>
  </w:num>
  <w:num w:numId="11">
    <w:abstractNumId w:val="4"/>
  </w:num>
  <w:num w:numId="12">
    <w:abstractNumId w:val="0"/>
  </w:num>
  <w:num w:numId="13">
    <w:abstractNumId w:val="1"/>
  </w:num>
  <w:num w:numId="14">
    <w:abstractNumId w:val="10"/>
  </w:num>
  <w:num w:numId="15">
    <w:abstractNumId w:val="16"/>
  </w:num>
  <w:num w:numId="16">
    <w:abstractNumId w:val="13"/>
  </w:num>
  <w:num w:numId="17">
    <w:abstractNumId w:val="12"/>
  </w:num>
  <w:num w:numId="18">
    <w:abstractNumId w:val="24"/>
  </w:num>
  <w:num w:numId="19">
    <w:abstractNumId w:val="25"/>
  </w:num>
  <w:num w:numId="20">
    <w:abstractNumId w:val="28"/>
  </w:num>
  <w:num w:numId="21">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9"/>
  </w:num>
  <w:num w:numId="24">
    <w:abstractNumId w:val="15"/>
  </w:num>
  <w:num w:numId="25">
    <w:abstractNumId w:val="7"/>
  </w:num>
  <w:num w:numId="26">
    <w:abstractNumId w:val="3"/>
  </w:num>
  <w:num w:numId="27">
    <w:abstractNumId w:val="8"/>
  </w:num>
  <w:num w:numId="28">
    <w:abstractNumId w:val="23"/>
  </w:num>
  <w:num w:numId="29">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B39EB"/>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8763F"/>
    <w:rsid w:val="00794274"/>
    <w:rsid w:val="007976B8"/>
    <w:rsid w:val="007C3204"/>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10C0"/>
    <w:rsid w:val="00972D7C"/>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3131"/>
    <w:rsid w:val="00BD42C5"/>
    <w:rsid w:val="00BE504B"/>
    <w:rsid w:val="00BF0F26"/>
    <w:rsid w:val="00C1060B"/>
    <w:rsid w:val="00C12DFE"/>
    <w:rsid w:val="00C14704"/>
    <w:rsid w:val="00C1631D"/>
    <w:rsid w:val="00C1650C"/>
    <w:rsid w:val="00C25A89"/>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5DF996-00D7-4DDC-A062-8045E20D61B3}">
  <ds:schemaRefs>
    <ds:schemaRef ds:uri="http://purl.org/dc/terms/"/>
    <ds:schemaRef ds:uri="http://schemas.openxmlformats.org/package/2006/metadata/core-properties"/>
    <ds:schemaRef ds:uri="5da01898-ba06-4224-99c2-ad34469b91b0"/>
    <ds:schemaRef ds:uri="http://schemas.microsoft.com/office/2006/documentManagement/types"/>
    <ds:schemaRef ds:uri="cbe1e94d-575c-40b7-87c9-e57a80e073bc"/>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6B7DA4-43C2-41CE-B7FB-5E1E0CC3A477}">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4</cp:revision>
  <dcterms:created xsi:type="dcterms:W3CDTF">2022-01-25T01:29:00Z</dcterms:created>
  <dcterms:modified xsi:type="dcterms:W3CDTF">2022-02-04T23:11:00Z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