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0D37F941"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78701F88" w14:textId="77777777" w:rsidR="00676549" w:rsidRPr="00676549" w:rsidRDefault="008C0D83" w:rsidP="00676549">
      <w:pPr>
        <w:pStyle w:val="ListParagraph"/>
        <w:numPr>
          <w:ilvl w:val="0"/>
          <w:numId w:val="6"/>
        </w:numPr>
        <w:rPr>
          <w:color w:val="4472C4" w:themeColor="accent5"/>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p>
    <w:p w14:paraId="11C69069" w14:textId="6604EB37" w:rsidR="002C0F01" w:rsidRPr="00676549" w:rsidRDefault="00433F0C" w:rsidP="00676549">
      <w:pPr>
        <w:pStyle w:val="ListParagraph"/>
        <w:rPr>
          <w:color w:val="4472C4" w:themeColor="accent5"/>
          <w:shd w:val="clear" w:color="auto" w:fill="FFFFFF"/>
        </w:rPr>
      </w:pPr>
      <w:r>
        <w:rPr>
          <w:color w:val="000000" w:themeColor="text1"/>
          <w:shd w:val="clear" w:color="auto" w:fill="FFFFFF"/>
        </w:rPr>
        <w:br/>
      </w:r>
      <w:r w:rsidR="00676549" w:rsidRPr="00676549">
        <w:rPr>
          <w:color w:val="4472C4" w:themeColor="accent5"/>
          <w:shd w:val="clear" w:color="auto" w:fill="FFFFFF"/>
        </w:rPr>
        <w:t>The short answer is no</w:t>
      </w:r>
      <w:r w:rsidR="00251D03">
        <w:rPr>
          <w:color w:val="4472C4" w:themeColor="accent5"/>
          <w:shd w:val="clear" w:color="auto" w:fill="FFFFFF"/>
        </w:rPr>
        <w:t>, with some nuances</w:t>
      </w:r>
      <w:r w:rsidR="00676549" w:rsidRPr="00676549">
        <w:rPr>
          <w:color w:val="4472C4" w:themeColor="accent5"/>
          <w:shd w:val="clear" w:color="auto" w:fill="FFFFFF"/>
        </w:rPr>
        <w:t>.</w:t>
      </w:r>
      <w:r w:rsidR="00676549">
        <w:rPr>
          <w:color w:val="4472C4" w:themeColor="accent5"/>
          <w:shd w:val="clear" w:color="auto" w:fill="FFFFFF"/>
        </w:rPr>
        <w:t xml:space="preserve"> Like all other units we have made a number of short term adjustments, scrambling to cover everything from teaching assignments and classroom presentation styles to lab work, research projects and administrative tasks.  </w:t>
      </w:r>
      <w:r w:rsidR="00E14ADD">
        <w:rPr>
          <w:color w:val="4472C4" w:themeColor="accent5"/>
          <w:shd w:val="clear" w:color="auto" w:fill="FFFFFF"/>
        </w:rPr>
        <w:t xml:space="preserve">For the most part, we have managed to provide coverage without needing to expand faculty and staff to cope, though we have added a handful of GSA roles.  </w:t>
      </w:r>
      <w:r w:rsidR="00676549">
        <w:rPr>
          <w:color w:val="4472C4" w:themeColor="accent5"/>
          <w:shd w:val="clear" w:color="auto" w:fill="FFFFFF"/>
        </w:rPr>
        <w:t>In the short term, the pandemic has only increased interest in studying public health and we see no reason to pull back our longer term plans to incrementally grow both our online and our in</w:t>
      </w:r>
      <w:r w:rsidR="00E14ADD">
        <w:rPr>
          <w:color w:val="4472C4" w:themeColor="accent5"/>
          <w:shd w:val="clear" w:color="auto" w:fill="FFFFFF"/>
        </w:rPr>
        <w:t>-</w:t>
      </w:r>
      <w:r w:rsidR="00676549">
        <w:rPr>
          <w:color w:val="4472C4" w:themeColor="accent5"/>
          <w:shd w:val="clear" w:color="auto" w:fill="FFFFFF"/>
        </w:rPr>
        <w:t>residence MPH degrees</w:t>
      </w:r>
      <w:r w:rsidR="00E14ADD">
        <w:rPr>
          <w:color w:val="4472C4" w:themeColor="accent5"/>
          <w:shd w:val="clear" w:color="auto" w:fill="FFFFFF"/>
        </w:rPr>
        <w:t xml:space="preserve"> and our undergraduate programs</w:t>
      </w:r>
      <w:r w:rsidR="00676549">
        <w:rPr>
          <w:color w:val="4472C4" w:themeColor="accent5"/>
          <w:shd w:val="clear" w:color="auto" w:fill="FFFFFF"/>
        </w:rPr>
        <w:t xml:space="preserve">. Funding for public health research projects also remains strong and </w:t>
      </w:r>
      <w:r w:rsidR="00E14ADD">
        <w:rPr>
          <w:color w:val="4472C4" w:themeColor="accent5"/>
          <w:shd w:val="clear" w:color="auto" w:fill="FFFFFF"/>
        </w:rPr>
        <w:t xml:space="preserve">we </w:t>
      </w:r>
      <w:r w:rsidR="00676549">
        <w:rPr>
          <w:color w:val="4472C4" w:themeColor="accent5"/>
          <w:shd w:val="clear" w:color="auto" w:fill="FFFFFF"/>
        </w:rPr>
        <w:t xml:space="preserve">continue to receive strong state support to help the state implement various aspect of our practice </w:t>
      </w:r>
      <w:r w:rsidR="00E14ADD">
        <w:rPr>
          <w:color w:val="4472C4" w:themeColor="accent5"/>
          <w:shd w:val="clear" w:color="auto" w:fill="FFFFFF"/>
        </w:rPr>
        <w:t>areas (</w:t>
      </w:r>
      <w:r w:rsidR="00C771C8">
        <w:rPr>
          <w:color w:val="4472C4" w:themeColor="accent5"/>
          <w:shd w:val="clear" w:color="auto" w:fill="FFFFFF"/>
        </w:rPr>
        <w:t xml:space="preserve">e.g., </w:t>
      </w:r>
      <w:r w:rsidR="00E14ADD">
        <w:rPr>
          <w:color w:val="4472C4" w:themeColor="accent5"/>
          <w:shd w:val="clear" w:color="auto" w:fill="FFFFFF"/>
        </w:rPr>
        <w:t>contact tracing, etc.).  At the same time, Covid-19 has greatly increased uncertainty about future development</w:t>
      </w:r>
      <w:r w:rsidR="00251D03">
        <w:rPr>
          <w:color w:val="4472C4" w:themeColor="accent5"/>
          <w:shd w:val="clear" w:color="auto" w:fill="FFFFFF"/>
        </w:rPr>
        <w:t>s</w:t>
      </w:r>
      <w:r w:rsidR="00C8405C">
        <w:rPr>
          <w:color w:val="4472C4" w:themeColor="accent5"/>
          <w:shd w:val="clear" w:color="auto" w:fill="FFFFFF"/>
        </w:rPr>
        <w:t xml:space="preserve"> and led to an increased state of exhaustion as reported by many students, faculty and staff.  </w:t>
      </w:r>
      <w:r w:rsidR="00251D03">
        <w:rPr>
          <w:color w:val="4472C4" w:themeColor="accent5"/>
          <w:shd w:val="clear" w:color="auto" w:fill="FFFFFF"/>
        </w:rPr>
        <w:t>We’re moving forward with plans at a more moderate pace than we might otherwise have expected to.</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60D63ECF" w14:textId="638E52A2" w:rsidR="002C0F01" w:rsidRPr="00FC17F0" w:rsidRDefault="00C771C8" w:rsidP="00465802">
      <w:pPr>
        <w:pStyle w:val="ListParagraph"/>
        <w:rPr>
          <w:color w:val="4472C4" w:themeColor="accent5"/>
        </w:rPr>
      </w:pPr>
      <w:r w:rsidRPr="00FC17F0">
        <w:rPr>
          <w:color w:val="4472C4" w:themeColor="accent5"/>
        </w:rPr>
        <w:t xml:space="preserve">Over the past four years we have added an Asst. Dean for </w:t>
      </w:r>
      <w:r w:rsidR="00675F50">
        <w:rPr>
          <w:color w:val="4472C4" w:themeColor="accent5"/>
        </w:rPr>
        <w:t>DEI</w:t>
      </w:r>
      <w:r w:rsidR="00FC17F0">
        <w:rPr>
          <w:color w:val="4472C4" w:themeColor="accent5"/>
        </w:rPr>
        <w:t xml:space="preserve">, plus a small staff.  Together with our school-wide and departmental </w:t>
      </w:r>
      <w:r w:rsidR="00675F50">
        <w:rPr>
          <w:color w:val="4472C4" w:themeColor="accent5"/>
        </w:rPr>
        <w:t>DEI</w:t>
      </w:r>
      <w:r w:rsidR="00FC17F0">
        <w:rPr>
          <w:color w:val="4472C4" w:themeColor="accent5"/>
        </w:rPr>
        <w:t xml:space="preserve"> committees, this group has produced an EDI Strategic Action Plan, which serves to identify our school-wide EDI goals and the strategies needed to achieve those goals.  We have been moving forward with implementation.  One aspect of implementation has been the development of an anti-racist training program for all school faculty and staff.  The </w:t>
      </w:r>
      <w:r w:rsidR="00675F50">
        <w:rPr>
          <w:color w:val="4472C4" w:themeColor="accent5"/>
        </w:rPr>
        <w:t>DEI</w:t>
      </w:r>
      <w:r w:rsidR="00FC17F0">
        <w:rPr>
          <w:color w:val="4472C4" w:themeColor="accent5"/>
        </w:rPr>
        <w:t xml:space="preserve"> group has led these trainings, offering </w:t>
      </w:r>
      <w:r w:rsidR="00726D8D">
        <w:rPr>
          <w:color w:val="4472C4" w:themeColor="accent5"/>
        </w:rPr>
        <w:t>20 sessions over the course of the last year to help bring the school faculty and staff up to a baseline starting point.  Ongoing session</w:t>
      </w:r>
      <w:r w:rsidR="00675F50">
        <w:rPr>
          <w:color w:val="4472C4" w:themeColor="accent5"/>
        </w:rPr>
        <w:t>s will continue this year, as wi</w:t>
      </w:r>
      <w:r w:rsidR="00726D8D">
        <w:rPr>
          <w:color w:val="4472C4" w:themeColor="accent5"/>
        </w:rPr>
        <w:t xml:space="preserve">ll other EDI activity.  </w:t>
      </w:r>
      <w:r w:rsidR="00675F50">
        <w:rPr>
          <w:color w:val="4472C4" w:themeColor="accent5"/>
        </w:rPr>
        <w:t xml:space="preserve">We are currently placing particular emphasis on faculty hiring, working to ensure that all of our search pools reflect appropriate depth and diversity. </w:t>
      </w:r>
      <w:r w:rsidR="00726D8D">
        <w:rPr>
          <w:color w:val="4472C4" w:themeColor="accent5"/>
        </w:rPr>
        <w:t xml:space="preserve">We budget just under $400,000 annually for our </w:t>
      </w:r>
      <w:r w:rsidR="00675F50">
        <w:rPr>
          <w:color w:val="4472C4" w:themeColor="accent5"/>
        </w:rPr>
        <w:t>DEI</w:t>
      </w:r>
      <w:r w:rsidR="00726D8D">
        <w:rPr>
          <w:color w:val="4472C4" w:themeColor="accent5"/>
        </w:rPr>
        <w:t xml:space="preserve"> group</w:t>
      </w:r>
      <w:r w:rsidR="00675F50">
        <w:rPr>
          <w:color w:val="4472C4" w:themeColor="accent5"/>
        </w:rPr>
        <w:t xml:space="preserve"> itself</w:t>
      </w:r>
      <w:r w:rsidR="00726D8D">
        <w:rPr>
          <w:color w:val="4472C4" w:themeColor="accent5"/>
        </w:rPr>
        <w:t xml:space="preserve">.  </w:t>
      </w:r>
      <w:r w:rsidR="00675F50">
        <w:rPr>
          <w:color w:val="4472C4" w:themeColor="accent5"/>
        </w:rPr>
        <w:t xml:space="preserve">This group is assisted by our academic and staff HR team, </w:t>
      </w:r>
      <w:r w:rsidR="00BA1B00">
        <w:rPr>
          <w:color w:val="4472C4" w:themeColor="accent5"/>
        </w:rPr>
        <w:t xml:space="preserve">and </w:t>
      </w:r>
      <w:r w:rsidR="00675F50">
        <w:rPr>
          <w:color w:val="4472C4" w:themeColor="accent5"/>
        </w:rPr>
        <w:t xml:space="preserve">by the school and departmental DEI committees, among others. At this time we don’t have an estimate of the resources associated with these </w:t>
      </w:r>
      <w:r w:rsidR="00BA1B00">
        <w:rPr>
          <w:color w:val="4472C4" w:themeColor="accent5"/>
        </w:rPr>
        <w:t xml:space="preserve">other </w:t>
      </w:r>
      <w:r w:rsidR="00675F50">
        <w:rPr>
          <w:color w:val="4472C4" w:themeColor="accent5"/>
        </w:rPr>
        <w:t xml:space="preserve">efforts.  During this fiscal year we did successfully complete our search for the Anti-Racism </w:t>
      </w:r>
      <w:r w:rsidR="006A4AC9">
        <w:rPr>
          <w:color w:val="4472C4" w:themeColor="accent5"/>
        </w:rPr>
        <w:t xml:space="preserve">and Community </w:t>
      </w:r>
      <w:r w:rsidR="00675F50">
        <w:rPr>
          <w:color w:val="4472C4" w:themeColor="accent5"/>
        </w:rPr>
        <w:t>Health (ARCH)</w:t>
      </w:r>
      <w:r w:rsidR="0073462A">
        <w:rPr>
          <w:color w:val="4472C4" w:themeColor="accent5"/>
        </w:rPr>
        <w:t xml:space="preserve"> cen</w:t>
      </w:r>
      <w:r w:rsidR="006A4AC9">
        <w:rPr>
          <w:color w:val="4472C4" w:themeColor="accent5"/>
        </w:rPr>
        <w:t>ter</w:t>
      </w:r>
      <w:r w:rsidR="00675F50">
        <w:rPr>
          <w:color w:val="4472C4" w:themeColor="accent5"/>
        </w:rPr>
        <w:t xml:space="preserve"> director.</w:t>
      </w:r>
      <w:r w:rsidR="00BA1B00">
        <w:rPr>
          <w:color w:val="4472C4" w:themeColor="accent5"/>
        </w:rPr>
        <w:t xml:space="preserve">  We have an almost $1M commitment to start up and operating funds for ARCH over the next 3 years and the director has submitted a proposal to NIH for funding further DEI activity focused on UW Health Sciences faculty. </w:t>
      </w:r>
    </w:p>
    <w:p w14:paraId="7C3BF33A" w14:textId="0C627959" w:rsidR="00D958B1" w:rsidRDefault="00D958B1" w:rsidP="00465802">
      <w:pPr>
        <w:rPr>
          <w:rFonts w:cstheme="minorHAnsi"/>
          <w:b/>
          <w:bCs/>
          <w:color w:val="7030A0"/>
          <w:shd w:val="clear" w:color="auto" w:fill="FFFFFF"/>
        </w:rPr>
      </w:pPr>
    </w:p>
    <w:p w14:paraId="71A31482" w14:textId="1EBB278C"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5E5FC8DE" w14:textId="2EBC43C1" w:rsidR="00885D07" w:rsidRDefault="00015FC8" w:rsidP="00885D07">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0780165D" w14:textId="6563AE62" w:rsidR="00885D07" w:rsidRDefault="00885D07" w:rsidP="00885D07">
      <w:pPr>
        <w:pStyle w:val="ListParagraph"/>
        <w:rPr>
          <w:color w:val="000000" w:themeColor="text1"/>
          <w:shd w:val="clear" w:color="auto" w:fill="FFFFFF"/>
        </w:rPr>
      </w:pPr>
      <w:r>
        <w:rPr>
          <w:rFonts w:cstheme="minorHAnsi"/>
          <w:bCs/>
          <w:color w:val="4472C4" w:themeColor="accent5"/>
          <w:shd w:val="clear" w:color="auto" w:fill="FFFFFF"/>
        </w:rPr>
        <w:t>We are requesting a 3% increase in tuition for all tuition-based graduate programs in our school. Salaries make up the majority (80%+) of our direct teaching costs. A 3</w:t>
      </w:r>
      <w:r w:rsidRPr="003B0E1F">
        <w:rPr>
          <w:rFonts w:cstheme="minorHAnsi"/>
          <w:bCs/>
          <w:color w:val="4472C4" w:themeColor="accent5"/>
          <w:shd w:val="clear" w:color="auto" w:fill="FFFFFF"/>
        </w:rPr>
        <w:t>% increase</w:t>
      </w:r>
      <w:r>
        <w:rPr>
          <w:rFonts w:cstheme="minorHAnsi"/>
          <w:bCs/>
          <w:color w:val="4472C4" w:themeColor="accent5"/>
          <w:shd w:val="clear" w:color="auto" w:fill="FFFFFF"/>
        </w:rPr>
        <w:t xml:space="preserve"> is </w:t>
      </w:r>
      <w:r w:rsidRPr="003B0E1F">
        <w:rPr>
          <w:rFonts w:cstheme="minorHAnsi"/>
          <w:bCs/>
          <w:color w:val="4472C4" w:themeColor="accent5"/>
          <w:shd w:val="clear" w:color="auto" w:fill="FFFFFF"/>
        </w:rPr>
        <w:t>needed to cover salary growth</w:t>
      </w:r>
      <w:r>
        <w:rPr>
          <w:rFonts w:cstheme="minorHAnsi"/>
          <w:bCs/>
          <w:color w:val="4472C4" w:themeColor="accent5"/>
          <w:shd w:val="clear" w:color="auto" w:fill="FFFFFF"/>
        </w:rPr>
        <w:t xml:space="preserve"> and additional operational increases</w:t>
      </w:r>
      <w:r w:rsidRPr="003B0E1F">
        <w:rPr>
          <w:rFonts w:cstheme="minorHAnsi"/>
          <w:bCs/>
          <w:color w:val="4472C4" w:themeColor="accent5"/>
          <w:shd w:val="clear" w:color="auto" w:fill="FFFFFF"/>
        </w:rPr>
        <w:t>.</w:t>
      </w:r>
    </w:p>
    <w:p w14:paraId="7940319D" w14:textId="77777777" w:rsidR="00885D07" w:rsidRPr="00885D07" w:rsidRDefault="00885D07" w:rsidP="00885D07">
      <w:pPr>
        <w:pStyle w:val="ListParagraph"/>
        <w:rPr>
          <w:color w:val="000000" w:themeColor="text1"/>
          <w:shd w:val="clear" w:color="auto" w:fill="FFFFFF"/>
        </w:rPr>
      </w:pPr>
    </w:p>
    <w:p w14:paraId="30A9511B" w14:textId="77777777" w:rsidR="00885D07" w:rsidRPr="00885D07"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12E2AB92" w14:textId="77777777" w:rsidR="00885D07" w:rsidRDefault="00885D07" w:rsidP="00885D07">
      <w:pPr>
        <w:pStyle w:val="ListParagraph"/>
        <w:rPr>
          <w:rFonts w:ascii="Calibri" w:eastAsia="Calibri" w:hAnsi="Calibri" w:cs="Calibri"/>
        </w:rPr>
      </w:pPr>
    </w:p>
    <w:p w14:paraId="165CE8CE" w14:textId="1CDCC773" w:rsidR="00015FC8" w:rsidRPr="00E74782" w:rsidRDefault="00885D07" w:rsidP="00885D07">
      <w:pPr>
        <w:pStyle w:val="ListParagraph"/>
        <w:rPr>
          <w:color w:val="000000" w:themeColor="text1"/>
          <w:shd w:val="clear" w:color="auto" w:fill="FFFFFF"/>
        </w:rPr>
      </w:pPr>
      <w:r w:rsidRPr="003B0E1F">
        <w:rPr>
          <w:rFonts w:cstheme="minorHAnsi"/>
          <w:bCs/>
          <w:color w:val="4472C4" w:themeColor="accent5"/>
          <w:shd w:val="clear" w:color="auto" w:fill="FFFFFF"/>
        </w:rPr>
        <w:t>Market analysis shows UW</w:t>
      </w:r>
      <w:r>
        <w:rPr>
          <w:rFonts w:cstheme="minorHAnsi"/>
          <w:bCs/>
          <w:color w:val="4472C4" w:themeColor="accent5"/>
          <w:shd w:val="clear" w:color="auto" w:fill="FFFFFF"/>
        </w:rPr>
        <w:t xml:space="preserve"> SPH</w:t>
      </w:r>
      <w:r w:rsidRPr="003B0E1F">
        <w:rPr>
          <w:rFonts w:cstheme="minorHAnsi"/>
          <w:bCs/>
          <w:color w:val="4472C4" w:themeColor="accent5"/>
          <w:shd w:val="clear" w:color="auto" w:fill="FFFFFF"/>
        </w:rPr>
        <w:t xml:space="preserve"> </w:t>
      </w:r>
      <w:r>
        <w:rPr>
          <w:rFonts w:cstheme="minorHAnsi"/>
          <w:bCs/>
          <w:color w:val="4472C4" w:themeColor="accent5"/>
          <w:shd w:val="clear" w:color="auto" w:fill="FFFFFF"/>
        </w:rPr>
        <w:t xml:space="preserve">tuition </w:t>
      </w:r>
      <w:r w:rsidRPr="003B0E1F">
        <w:rPr>
          <w:rFonts w:cstheme="minorHAnsi"/>
          <w:bCs/>
          <w:color w:val="4472C4" w:themeColor="accent5"/>
          <w:shd w:val="clear" w:color="auto" w:fill="FFFFFF"/>
        </w:rPr>
        <w:t>in the middle of public university peers, on par with North Carolina, above Minnesota, below UCLA and Berkeley.</w:t>
      </w:r>
      <w:r>
        <w:rPr>
          <w:rFonts w:cstheme="minorHAnsi"/>
          <w:bCs/>
          <w:color w:val="4472C4" w:themeColor="accent5"/>
          <w:shd w:val="clear" w:color="auto" w:fill="FFFFFF"/>
        </w:rPr>
        <w:t xml:space="preserve"> Students do report that factors beyond tuition, such as the lack of availability of lower cost health insurance (not just student insurance), high local housing costs, difficult requirements for qualifying for in state tuition, length of degree completion time, etc., do factor into their enrollment decisions.</w:t>
      </w:r>
      <w:r w:rsidR="00E74782" w:rsidRPr="00E74782">
        <w:rPr>
          <w:rFonts w:cstheme="minorHAnsi"/>
          <w:bCs/>
          <w:i/>
          <w:color w:val="5B9BD5" w:themeColor="accent1"/>
          <w:sz w:val="20"/>
          <w:shd w:val="clear" w:color="auto" w:fill="FFFFFF"/>
        </w:rPr>
        <w:br/>
      </w: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398E8C30" w14:textId="4930D34A" w:rsidR="0073515C" w:rsidRDefault="00C23545" w:rsidP="00885D07">
      <w:pPr>
        <w:spacing w:before="480"/>
        <w:ind w:left="720"/>
        <w:rPr>
          <w:rFonts w:cstheme="minorHAnsi"/>
          <w:bCs/>
          <w:color w:val="4472C4" w:themeColor="accent5"/>
          <w:shd w:val="clear" w:color="auto" w:fill="FFFFFF"/>
        </w:rPr>
      </w:pPr>
      <w:r>
        <w:rPr>
          <w:rFonts w:cstheme="minorHAnsi"/>
          <w:bCs/>
          <w:color w:val="4472C4" w:themeColor="accent5"/>
          <w:shd w:val="clear" w:color="auto" w:fill="FFFFFF"/>
        </w:rPr>
        <w:t xml:space="preserve">Average </w:t>
      </w:r>
      <w:r w:rsidR="00885D07" w:rsidRPr="00885D07">
        <w:rPr>
          <w:rFonts w:cstheme="minorHAnsi"/>
          <w:bCs/>
          <w:color w:val="4472C4" w:themeColor="accent5"/>
          <w:shd w:val="clear" w:color="auto" w:fill="FFFFFF"/>
        </w:rPr>
        <w:t xml:space="preserve">SPH student debt loads are shown in the table below.  </w:t>
      </w:r>
      <w:r>
        <w:rPr>
          <w:rFonts w:cstheme="minorHAnsi"/>
          <w:bCs/>
          <w:color w:val="4472C4" w:themeColor="accent5"/>
          <w:shd w:val="clear" w:color="auto" w:fill="FFFFFF"/>
        </w:rPr>
        <w:t>While t</w:t>
      </w:r>
      <w:r w:rsidR="00885D07" w:rsidRPr="00885D07">
        <w:rPr>
          <w:rFonts w:cstheme="minorHAnsi"/>
          <w:bCs/>
          <w:color w:val="4472C4" w:themeColor="accent5"/>
          <w:shd w:val="clear" w:color="auto" w:fill="FFFFFF"/>
        </w:rPr>
        <w:t xml:space="preserve">he percentage of students with debt and the average debt load </w:t>
      </w:r>
      <w:r w:rsidR="0073515C">
        <w:rPr>
          <w:rFonts w:cstheme="minorHAnsi"/>
          <w:bCs/>
          <w:color w:val="4472C4" w:themeColor="accent5"/>
          <w:shd w:val="clear" w:color="auto" w:fill="FFFFFF"/>
        </w:rPr>
        <w:t xml:space="preserve">per student </w:t>
      </w:r>
      <w:r w:rsidR="00885D07" w:rsidRPr="00885D07">
        <w:rPr>
          <w:rFonts w:cstheme="minorHAnsi"/>
          <w:bCs/>
          <w:color w:val="4472C4" w:themeColor="accent5"/>
          <w:shd w:val="clear" w:color="auto" w:fill="FFFFFF"/>
        </w:rPr>
        <w:t xml:space="preserve">has been </w:t>
      </w:r>
      <w:r w:rsidR="0073515C">
        <w:rPr>
          <w:rFonts w:cstheme="minorHAnsi"/>
          <w:bCs/>
          <w:color w:val="4472C4" w:themeColor="accent5"/>
          <w:shd w:val="clear" w:color="auto" w:fill="FFFFFF"/>
        </w:rPr>
        <w:t xml:space="preserve">relatively unchanged </w:t>
      </w:r>
      <w:r w:rsidR="00885D07" w:rsidRPr="00885D07">
        <w:rPr>
          <w:rFonts w:cstheme="minorHAnsi"/>
          <w:bCs/>
          <w:color w:val="4472C4" w:themeColor="accent5"/>
          <w:shd w:val="clear" w:color="auto" w:fill="FFFFFF"/>
        </w:rPr>
        <w:t>over the last three years</w:t>
      </w:r>
      <w:r w:rsidR="0073515C">
        <w:rPr>
          <w:rFonts w:cstheme="minorHAnsi"/>
          <w:bCs/>
          <w:color w:val="4472C4" w:themeColor="accent5"/>
          <w:shd w:val="clear" w:color="auto" w:fill="FFFFFF"/>
        </w:rPr>
        <w:t>, we have seen an increase in both areas over this past year</w:t>
      </w:r>
      <w:r w:rsidR="00885D07" w:rsidRPr="00885D07">
        <w:rPr>
          <w:rFonts w:cstheme="minorHAnsi"/>
          <w:bCs/>
          <w:color w:val="4472C4" w:themeColor="accent5"/>
          <w:shd w:val="clear" w:color="auto" w:fill="FFFFFF"/>
        </w:rPr>
        <w:t>.  Average debt loads do vary quite a bit by degree level.  Average debt loads are highest for Masters students because 1) the cumulative length of time in school (if you need to borrow as an undergrad, you will need to borrow that much more during your Masters years); 2) tuition levels (graduate tuition generally being higher than undergraduate); and 3) limited support opportunities (e.g., TA/RA roles are more likely to go to PhD students).  Our fee-based Masters students carry approximately the same debt load as our tuition-based students. This debt burden is of concern: 1) for individual students; 2) for graduating students’ ability to take on lower paying jobs, particularly working with health marginalized communities who could benefit most from public health assistance and interventions; 3) for the school’s ability to recruit the full range of diverse students.  We are particularly concerned about further adding to student debt load in the wake of the COVID-19 pandemic, which has had devastating economic impacts on many of our students and their families. In the past four years we have increased the number of Masters scholarships available to students and currently provide $5,000 and S10,000 scholarships annually to 14 students</w:t>
      </w:r>
      <w:r w:rsidR="0073515C">
        <w:rPr>
          <w:rFonts w:cstheme="minorHAnsi"/>
          <w:bCs/>
          <w:color w:val="4472C4" w:themeColor="accent5"/>
          <w:shd w:val="clear" w:color="auto" w:fill="FFFFFF"/>
        </w:rPr>
        <w:t>, providing $200,000 in total support</w:t>
      </w:r>
      <w:r w:rsidR="00885D07" w:rsidRPr="00885D07">
        <w:rPr>
          <w:rFonts w:cstheme="minorHAnsi"/>
          <w:bCs/>
          <w:color w:val="4472C4" w:themeColor="accent5"/>
          <w:shd w:val="clear" w:color="auto" w:fill="FFFFFF"/>
        </w:rPr>
        <w:t xml:space="preserve">. </w:t>
      </w:r>
      <w:r w:rsidR="0073515C">
        <w:rPr>
          <w:rFonts w:cstheme="minorHAnsi"/>
          <w:bCs/>
          <w:color w:val="4472C4" w:themeColor="accent5"/>
          <w:shd w:val="clear" w:color="auto" w:fill="FFFFFF"/>
        </w:rPr>
        <w:t xml:space="preserve">In FY2023 we plan to add </w:t>
      </w:r>
      <w:r w:rsidR="00A033AC">
        <w:rPr>
          <w:rFonts w:cstheme="minorHAnsi"/>
          <w:bCs/>
          <w:color w:val="4472C4" w:themeColor="accent5"/>
          <w:shd w:val="clear" w:color="auto" w:fill="FFFFFF"/>
        </w:rPr>
        <w:t xml:space="preserve">$20,000 </w:t>
      </w:r>
      <w:r w:rsidR="0073515C">
        <w:rPr>
          <w:rFonts w:cstheme="minorHAnsi"/>
          <w:bCs/>
          <w:color w:val="4472C4" w:themeColor="accent5"/>
          <w:shd w:val="clear" w:color="auto" w:fill="FFFFFF"/>
        </w:rPr>
        <w:t xml:space="preserve">in additional scholarship support. In addition to the scholarships funded by operations, we also provide an additional $150,000 in endowed scholarship support annually. </w:t>
      </w:r>
      <w:r w:rsidR="00885D07" w:rsidRPr="00885D07">
        <w:rPr>
          <w:rFonts w:cstheme="minorHAnsi"/>
          <w:bCs/>
          <w:color w:val="4472C4" w:themeColor="accent5"/>
          <w:shd w:val="clear" w:color="auto" w:fill="FFFFFF"/>
        </w:rPr>
        <w:t xml:space="preserve">Further growing student aid is one of our Advancement priorities moving forward and is a primary focus of our new “Campaign for Students.” We are particularly focusing on raising money for students with demonstrated financial need and are explicitly </w:t>
      </w:r>
      <w:r w:rsidR="00885D07" w:rsidRPr="00885D07">
        <w:rPr>
          <w:rFonts w:cstheme="minorHAnsi"/>
          <w:bCs/>
          <w:color w:val="4472C4" w:themeColor="accent5"/>
          <w:shd w:val="clear" w:color="auto" w:fill="FFFFFF"/>
        </w:rPr>
        <w:lastRenderedPageBreak/>
        <w:t>linking this to our goal of creating a more diverse public health workforce that better reflects the communities we serve</w:t>
      </w:r>
      <w:r w:rsidR="0073515C">
        <w:rPr>
          <w:rFonts w:cstheme="minorHAnsi"/>
          <w:bCs/>
          <w:color w:val="4472C4" w:themeColor="accent5"/>
          <w:shd w:val="clear" w:color="auto" w:fill="FFFFFF"/>
        </w:rPr>
        <w:t>.</w:t>
      </w:r>
      <w:r w:rsidR="00A033AC">
        <w:rPr>
          <w:rFonts w:cstheme="minorHAnsi"/>
          <w:bCs/>
          <w:color w:val="4472C4" w:themeColor="accent5"/>
          <w:shd w:val="clear" w:color="auto" w:fill="FFFFFF"/>
        </w:rPr>
        <w:t xml:space="preserve"> </w:t>
      </w:r>
      <w:r w:rsidR="00FF244B">
        <w:rPr>
          <w:rFonts w:cstheme="minorHAnsi"/>
          <w:bCs/>
          <w:color w:val="4472C4" w:themeColor="accent5"/>
          <w:shd w:val="clear" w:color="auto" w:fill="FFFFFF"/>
        </w:rPr>
        <w:t xml:space="preserve">In addition to scholarships support, SPH utilizes 40-45 TA positons and 60-65 RA positions annually.  These positions provide $7.1M in tuition waivers for students annually.  Another $4.2M in tuition is directly paid by grants.  </w:t>
      </w:r>
    </w:p>
    <w:p w14:paraId="52EFD3E2" w14:textId="0911D4A6" w:rsidR="00C23545" w:rsidRPr="00885D07" w:rsidRDefault="00C23545" w:rsidP="00DE6999">
      <w:pPr>
        <w:spacing w:before="480"/>
        <w:ind w:left="720"/>
        <w:rPr>
          <w:rFonts w:cstheme="minorHAnsi"/>
          <w:bCs/>
          <w:color w:val="4472C4" w:themeColor="accent5"/>
          <w:shd w:val="clear" w:color="auto" w:fill="FFFFFF"/>
        </w:rPr>
      </w:pPr>
      <w:r>
        <w:rPr>
          <w:rFonts w:cstheme="minorHAnsi"/>
          <w:bCs/>
          <w:color w:val="4472C4" w:themeColor="accent5"/>
          <w:shd w:val="clear" w:color="auto" w:fill="FFFFFF"/>
        </w:rPr>
        <w:t xml:space="preserve">     </w:t>
      </w:r>
      <w:r w:rsidRPr="00C23545">
        <w:rPr>
          <w:noProof/>
        </w:rPr>
        <w:drawing>
          <wp:inline distT="0" distB="0" distL="0" distR="0" wp14:anchorId="4FF1223A" wp14:editId="4F7CBB47">
            <wp:extent cx="3733800"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3800" cy="4248150"/>
                    </a:xfrm>
                    <a:prstGeom prst="rect">
                      <a:avLst/>
                    </a:prstGeom>
                    <a:noFill/>
                    <a:ln>
                      <a:noFill/>
                    </a:ln>
                  </pic:spPr>
                </pic:pic>
              </a:graphicData>
            </a:graphic>
          </wp:inline>
        </w:drawing>
      </w:r>
    </w:p>
    <w:p w14:paraId="084BFA6F" w14:textId="77777777" w:rsidR="00885D07" w:rsidRDefault="00885D07" w:rsidP="3C06953E">
      <w:pPr>
        <w:spacing w:after="0"/>
        <w:ind w:left="360" w:hanging="360"/>
      </w:pPr>
    </w:p>
    <w:p w14:paraId="13B75EBC" w14:textId="26C76478"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03FB1D64" w14:textId="37522425" w:rsidR="00885D07" w:rsidRPr="00463BED" w:rsidRDefault="00885D07" w:rsidP="00885D07">
      <w:pPr>
        <w:pStyle w:val="ListParagraph"/>
        <w:rPr>
          <w:color w:val="000000" w:themeColor="text1"/>
          <w:shd w:val="clear" w:color="auto" w:fill="FFFFFF"/>
        </w:rPr>
      </w:pPr>
      <w:r w:rsidRPr="000C5363">
        <w:rPr>
          <w:rFonts w:cstheme="minorHAnsi"/>
          <w:bCs/>
          <w:color w:val="4472C4" w:themeColor="accent5"/>
          <w:shd w:val="clear" w:color="auto" w:fill="FFFFFF"/>
        </w:rPr>
        <w:t xml:space="preserve">We do </w:t>
      </w:r>
      <w:r>
        <w:rPr>
          <w:rFonts w:cstheme="minorHAnsi"/>
          <w:bCs/>
          <w:color w:val="4472C4" w:themeColor="accent5"/>
          <w:shd w:val="clear" w:color="auto" w:fill="FFFFFF"/>
        </w:rPr>
        <w:t xml:space="preserve">not expect any substantial changes in </w:t>
      </w:r>
      <w:r w:rsidR="00FF244B">
        <w:rPr>
          <w:rFonts w:cstheme="minorHAnsi"/>
          <w:bCs/>
          <w:color w:val="4472C4" w:themeColor="accent5"/>
          <w:shd w:val="clear" w:color="auto" w:fill="FFFFFF"/>
        </w:rPr>
        <w:t xml:space="preserve">resident/non-resident </w:t>
      </w:r>
      <w:r>
        <w:rPr>
          <w:rFonts w:cstheme="minorHAnsi"/>
          <w:bCs/>
          <w:color w:val="4472C4" w:themeColor="accent5"/>
          <w:shd w:val="clear" w:color="auto" w:fill="FFFFFF"/>
        </w:rPr>
        <w:t>enrollment or to the volume of waivers awarded due to the proposed change in tuition.</w:t>
      </w:r>
      <w:r w:rsidR="00FF244B">
        <w:rPr>
          <w:rFonts w:cstheme="minorHAnsi"/>
          <w:bCs/>
          <w:color w:val="4472C4" w:themeColor="accent5"/>
          <w:shd w:val="clear" w:color="auto" w:fill="FFFFFF"/>
        </w:rPr>
        <w:t xml:space="preserve"> As mentioned above, the number of waivers is dependent on TA/RA positions rather than tuition rates. </w:t>
      </w:r>
      <w:r w:rsidR="00814E55">
        <w:rPr>
          <w:rFonts w:cstheme="minorHAnsi"/>
          <w:bCs/>
          <w:color w:val="4472C4" w:themeColor="accent5"/>
          <w:shd w:val="clear" w:color="auto" w:fill="FFFFFF"/>
        </w:rPr>
        <w:t>About 50% of our</w:t>
      </w:r>
      <w:r w:rsidR="00FF244B">
        <w:rPr>
          <w:rFonts w:cstheme="minorHAnsi"/>
          <w:bCs/>
          <w:color w:val="4472C4" w:themeColor="accent5"/>
          <w:shd w:val="clear" w:color="auto" w:fill="FFFFFF"/>
        </w:rPr>
        <w:t xml:space="preserve"> MPH students in state students (with California residents being the largest out of state group).  Maintaining tuition parity with other state schools does help keep enrollment strong</w:t>
      </w:r>
      <w:r w:rsidR="00814E55">
        <w:rPr>
          <w:rFonts w:cstheme="minorHAnsi"/>
          <w:bCs/>
          <w:color w:val="4472C4" w:themeColor="accent5"/>
          <w:shd w:val="clear" w:color="auto" w:fill="FFFFFF"/>
        </w:rPr>
        <w:t>.</w:t>
      </w:r>
      <w:r w:rsidR="00FF244B">
        <w:rPr>
          <w:rFonts w:cstheme="minorHAnsi"/>
          <w:bCs/>
          <w:color w:val="4472C4" w:themeColor="accent5"/>
          <w:shd w:val="clear" w:color="auto" w:fill="FFFFFF"/>
        </w:rPr>
        <w:t xml:space="preserve">  </w:t>
      </w:r>
      <w:r w:rsidR="00814E55">
        <w:rPr>
          <w:rFonts w:cstheme="minorHAnsi"/>
          <w:bCs/>
          <w:color w:val="4472C4" w:themeColor="accent5"/>
          <w:shd w:val="clear" w:color="auto" w:fill="FFFFFF"/>
        </w:rPr>
        <w:t>About</w:t>
      </w:r>
      <w:r w:rsidR="00FF244B">
        <w:rPr>
          <w:rFonts w:cstheme="minorHAnsi"/>
          <w:bCs/>
          <w:color w:val="4472C4" w:themeColor="accent5"/>
          <w:shd w:val="clear" w:color="auto" w:fill="FFFFFF"/>
        </w:rPr>
        <w:t xml:space="preserve"> 80% </w:t>
      </w:r>
      <w:r w:rsidR="00814E55">
        <w:rPr>
          <w:rFonts w:cstheme="minorHAnsi"/>
          <w:bCs/>
          <w:color w:val="4472C4" w:themeColor="accent5"/>
          <w:shd w:val="clear" w:color="auto" w:fill="FFFFFF"/>
        </w:rPr>
        <w:t xml:space="preserve">of our PhD students are </w:t>
      </w:r>
      <w:r w:rsidR="00FF244B">
        <w:rPr>
          <w:rFonts w:cstheme="minorHAnsi"/>
          <w:bCs/>
          <w:color w:val="4472C4" w:themeColor="accent5"/>
          <w:shd w:val="clear" w:color="auto" w:fill="FFFFFF"/>
        </w:rPr>
        <w:t xml:space="preserve">out of </w:t>
      </w:r>
      <w:r w:rsidR="00814E55">
        <w:rPr>
          <w:rFonts w:cstheme="minorHAnsi"/>
          <w:bCs/>
          <w:color w:val="4472C4" w:themeColor="accent5"/>
          <w:shd w:val="clear" w:color="auto" w:fill="FFFFFF"/>
        </w:rPr>
        <w:t>state. Waiver eligibility through the TA/RA positions is a strong factor in their deciding to enroll in our programs.</w:t>
      </w:r>
    </w:p>
    <w:p w14:paraId="4A6603F8" w14:textId="46B319A9" w:rsidR="00885D07" w:rsidRDefault="00885D07" w:rsidP="00885D07">
      <w:pPr>
        <w:pStyle w:val="ListParagraph"/>
        <w:rPr>
          <w:color w:val="000000" w:themeColor="text1"/>
          <w:shd w:val="clear" w:color="auto" w:fill="FFFFFF"/>
        </w:rPr>
      </w:pPr>
    </w:p>
    <w:p w14:paraId="5FEC36B1" w14:textId="77777777" w:rsidR="00885D07" w:rsidRPr="00E74782" w:rsidRDefault="00885D07" w:rsidP="00885D07">
      <w:pPr>
        <w:pStyle w:val="ListParagraph"/>
        <w:rPr>
          <w:color w:val="000000" w:themeColor="text1"/>
          <w:shd w:val="clear" w:color="auto" w:fill="FFFFFF"/>
        </w:rPr>
      </w:pPr>
    </w:p>
    <w:p w14:paraId="5DBB5B30" w14:textId="079AF6DC"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lastRenderedPageBreak/>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5EFD16F5" w14:textId="3835E5CA" w:rsidR="00A23514" w:rsidRDefault="00A23514" w:rsidP="00A23514">
      <w:pPr>
        <w:pStyle w:val="ListParagraph"/>
        <w:rPr>
          <w:color w:val="000000" w:themeColor="text1"/>
          <w:shd w:val="clear" w:color="auto" w:fill="FFFFFF"/>
        </w:rPr>
      </w:pPr>
      <w:r w:rsidRPr="003B0E1F">
        <w:rPr>
          <w:rFonts w:cstheme="minorHAnsi"/>
          <w:bCs/>
          <w:color w:val="4472C4" w:themeColor="accent5"/>
          <w:shd w:val="clear" w:color="auto" w:fill="FFFFFF"/>
        </w:rPr>
        <w:t xml:space="preserve">School would </w:t>
      </w:r>
      <w:r>
        <w:rPr>
          <w:rFonts w:cstheme="minorHAnsi"/>
          <w:bCs/>
          <w:color w:val="4472C4" w:themeColor="accent5"/>
          <w:shd w:val="clear" w:color="auto" w:fill="FFFFFF"/>
        </w:rPr>
        <w:t>need to make up approximately $45</w:t>
      </w:r>
      <w:r w:rsidRPr="003B0E1F">
        <w:rPr>
          <w:rFonts w:cstheme="minorHAnsi"/>
          <w:bCs/>
          <w:color w:val="4472C4" w:themeColor="accent5"/>
          <w:shd w:val="clear" w:color="auto" w:fill="FFFFFF"/>
        </w:rPr>
        <w:t>0,000 annually</w:t>
      </w:r>
      <w:r>
        <w:rPr>
          <w:rFonts w:cstheme="minorHAnsi"/>
          <w:bCs/>
          <w:color w:val="4472C4" w:themeColor="accent5"/>
          <w:shd w:val="clear" w:color="auto" w:fill="FFFFFF"/>
        </w:rPr>
        <w:t xml:space="preserve"> out of ongoing operations or reserves</w:t>
      </w:r>
      <w:r w:rsidRPr="003B0E1F">
        <w:rPr>
          <w:rFonts w:cstheme="minorHAnsi"/>
          <w:bCs/>
          <w:color w:val="4472C4" w:themeColor="accent5"/>
          <w:shd w:val="clear" w:color="auto" w:fill="FFFFFF"/>
        </w:rPr>
        <w:t>.</w:t>
      </w:r>
    </w:p>
    <w:p w14:paraId="33541A2C" w14:textId="77777777" w:rsidR="00A23514" w:rsidRPr="00E74782" w:rsidRDefault="00A23514" w:rsidP="00A23514">
      <w:pPr>
        <w:pStyle w:val="ListParagraph"/>
        <w:rPr>
          <w:color w:val="000000" w:themeColor="text1"/>
          <w:shd w:val="clear" w:color="auto" w:fill="FFFFFF"/>
        </w:rPr>
      </w:pP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66492CAA" w:rsidR="00CB78CA" w:rsidRDefault="00CB78CA" w:rsidP="00CB78CA">
      <w:pPr>
        <w:pStyle w:val="ListParagraph"/>
        <w:rPr>
          <w:color w:val="000000" w:themeColor="text1"/>
        </w:rPr>
      </w:pPr>
    </w:p>
    <w:p w14:paraId="204370DE" w14:textId="564DB8D5" w:rsidR="00A23514" w:rsidRDefault="00A23514" w:rsidP="00CB78CA">
      <w:pPr>
        <w:pStyle w:val="ListParagraph"/>
        <w:rPr>
          <w:color w:val="000000" w:themeColor="text1"/>
        </w:rPr>
      </w:pPr>
      <w:r>
        <w:rPr>
          <w:rFonts w:cstheme="minorHAnsi"/>
          <w:bCs/>
          <w:color w:val="4472C4" w:themeColor="accent5"/>
          <w:shd w:val="clear" w:color="auto" w:fill="FFFFFF"/>
        </w:rPr>
        <w:t>Our long-term strategy is to one 1) implement nominal cost of living increases, while 2) remaining in the middle of our public peers.  We see no significant tuition rate growth, beyond inflation, among our peer group.</w:t>
      </w:r>
    </w:p>
    <w:p w14:paraId="3E47DF2A" w14:textId="77777777" w:rsidR="00A23514" w:rsidRPr="00F43AEE" w:rsidRDefault="00A23514"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4BCFC61D"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7AE1D5EF" w14:textId="77777777" w:rsidR="00A23514" w:rsidRDefault="00A23514" w:rsidP="00F43AEE">
      <w:pPr>
        <w:pStyle w:val="ListParagraph"/>
        <w:rPr>
          <w:rFonts w:cstheme="minorHAnsi"/>
          <w:color w:val="000000" w:themeColor="text1"/>
        </w:rPr>
      </w:pPr>
    </w:p>
    <w:p w14:paraId="34CE0A41" w14:textId="505BC654" w:rsidR="00B41DC0" w:rsidRPr="00A033AC" w:rsidRDefault="00A033AC" w:rsidP="00F43AEE">
      <w:pPr>
        <w:pStyle w:val="ListParagraph"/>
        <w:rPr>
          <w:rFonts w:cstheme="minorHAnsi"/>
          <w:color w:val="4472C4" w:themeColor="accent5"/>
        </w:rPr>
      </w:pPr>
      <w:r w:rsidRPr="00A033AC">
        <w:rPr>
          <w:rFonts w:cstheme="minorHAnsi"/>
          <w:color w:val="4472C4" w:themeColor="accent5"/>
        </w:rPr>
        <w:t>Faculty Council meeting in Jan. (1/24/22)and by email.</w:t>
      </w:r>
      <w:r w:rsidR="002C0F01" w:rsidRPr="00A033AC">
        <w:rPr>
          <w:rFonts w:cstheme="minorHAnsi"/>
          <w:color w:val="4472C4" w:themeColor="accent5"/>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D98A12B" w14:textId="2A34273F" w:rsidR="00476C8C" w:rsidRPr="00A23514" w:rsidRDefault="00A23514" w:rsidP="00A23514">
      <w:pPr>
        <w:ind w:left="720"/>
        <w:rPr>
          <w:rFonts w:cstheme="minorHAnsi"/>
          <w:color w:val="4472C4" w:themeColor="accent5"/>
        </w:rPr>
      </w:pPr>
      <w:r w:rsidRPr="00A23514">
        <w:rPr>
          <w:rFonts w:cstheme="minorHAnsi"/>
          <w:color w:val="4472C4" w:themeColor="accent5"/>
        </w:rPr>
        <w:t>Jerry Cangelosi (gcang@uw.edu)</w:t>
      </w:r>
      <w:r w:rsidR="002C0F01" w:rsidRPr="00A23514">
        <w:rPr>
          <w:rFonts w:cstheme="minorHAnsi"/>
          <w:color w:val="4472C4" w:themeColor="accent5"/>
        </w:rPr>
        <w:br/>
      </w: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4F42A468" w:rsidR="00B41DC0" w:rsidRDefault="00B41DC0" w:rsidP="00B41DC0">
      <w:pPr>
        <w:pStyle w:val="ListParagraph"/>
        <w:rPr>
          <w:rFonts w:cstheme="minorHAnsi"/>
          <w:color w:val="000000" w:themeColor="text1"/>
        </w:rPr>
      </w:pPr>
    </w:p>
    <w:p w14:paraId="4AAA00D9" w14:textId="24F2B227" w:rsidR="00A23514" w:rsidRPr="00A033AC" w:rsidRDefault="00A033AC" w:rsidP="00B41DC0">
      <w:pPr>
        <w:pStyle w:val="ListParagraph"/>
        <w:rPr>
          <w:rFonts w:cstheme="minorHAnsi"/>
          <w:color w:val="4472C4" w:themeColor="accent5"/>
        </w:rPr>
      </w:pPr>
      <w:r w:rsidRPr="00A033AC">
        <w:rPr>
          <w:rFonts w:cstheme="minorHAnsi"/>
          <w:color w:val="4472C4" w:themeColor="accent5"/>
        </w:rPr>
        <w:t>DACS meetings in November (</w:t>
      </w:r>
      <w:r w:rsidR="00A23514" w:rsidRPr="00A033AC">
        <w:rPr>
          <w:rFonts w:cstheme="minorHAnsi"/>
          <w:color w:val="4472C4" w:themeColor="accent5"/>
        </w:rPr>
        <w:t>11/29/21</w:t>
      </w:r>
      <w:r w:rsidRPr="00A033AC">
        <w:rPr>
          <w:rFonts w:cstheme="minorHAnsi"/>
          <w:color w:val="4472C4" w:themeColor="accent5"/>
        </w:rPr>
        <w:t>) and January (1/10/22)</w:t>
      </w:r>
      <w:r w:rsidR="00A23514" w:rsidRPr="00A033AC">
        <w:rPr>
          <w:rFonts w:cstheme="minorHAnsi"/>
          <w:color w:val="4472C4" w:themeColor="accent5"/>
        </w:rPr>
        <w:t xml:space="preserve"> and </w:t>
      </w:r>
      <w:r w:rsidRPr="00A033AC">
        <w:rPr>
          <w:rFonts w:cstheme="minorHAnsi"/>
          <w:color w:val="4472C4" w:themeColor="accent5"/>
        </w:rPr>
        <w:t>email.</w:t>
      </w: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2E7B0C1C" w14:textId="77777777" w:rsidR="00A23514" w:rsidRDefault="00A23514" w:rsidP="00476C8C">
      <w:pPr>
        <w:pStyle w:val="ListParagraph"/>
        <w:rPr>
          <w:rFonts w:cstheme="minorHAnsi"/>
          <w:color w:val="000000" w:themeColor="text1"/>
        </w:rPr>
      </w:pPr>
    </w:p>
    <w:p w14:paraId="418C62C4" w14:textId="7FB6F68D" w:rsidR="00A23514" w:rsidRPr="00A23514" w:rsidRDefault="00A23514" w:rsidP="00A23514">
      <w:pPr>
        <w:pStyle w:val="ListParagraph"/>
        <w:rPr>
          <w:rFonts w:cstheme="minorHAnsi"/>
          <w:color w:val="4472C4" w:themeColor="accent5"/>
        </w:rPr>
      </w:pPr>
      <w:r w:rsidRPr="00A23514">
        <w:rPr>
          <w:rFonts w:cstheme="minorHAnsi"/>
          <w:color w:val="4472C4" w:themeColor="accent5"/>
        </w:rPr>
        <w:t>Our Deans Advisory Council of Students (DACS) is operating as a 1 credit course</w:t>
      </w:r>
      <w:r>
        <w:rPr>
          <w:rFonts w:cstheme="minorHAnsi"/>
          <w:color w:val="4472C4" w:themeColor="accent5"/>
        </w:rPr>
        <w:t>, led by the Dean</w:t>
      </w:r>
      <w:r w:rsidRPr="00A23514">
        <w:rPr>
          <w:rFonts w:cstheme="minorHAnsi"/>
          <w:color w:val="4472C4" w:themeColor="accent5"/>
        </w:rPr>
        <w:t>, without a formal DACS leader.  DACS roster and contact information is available through our student services liaison, rukie hartman (</w:t>
      </w:r>
      <w:hyperlink r:id="rId12" w:history="1">
        <w:r w:rsidRPr="00A23514">
          <w:rPr>
            <w:rStyle w:val="Hyperlink"/>
            <w:rFonts w:cstheme="minorHAnsi"/>
            <w:color w:val="4472C4" w:themeColor="accent5"/>
          </w:rPr>
          <w:t>mrht@uw.edu</w:t>
        </w:r>
      </w:hyperlink>
      <w:r w:rsidRPr="00A23514">
        <w:rPr>
          <w:rFonts w:cstheme="minorHAnsi"/>
          <w:color w:val="4472C4" w:themeColor="accent5"/>
        </w:rPr>
        <w:t xml:space="preserve">). </w:t>
      </w:r>
    </w:p>
    <w:p w14:paraId="110FFD37" w14:textId="22E46172" w:rsidR="00476C8C" w:rsidRDefault="002C0F01" w:rsidP="00476C8C">
      <w:pPr>
        <w:pStyle w:val="ListParagraph"/>
        <w:rPr>
          <w:rFonts w:cstheme="minorHAnsi"/>
          <w:color w:val="000000" w:themeColor="text1"/>
        </w:rPr>
      </w:pPr>
      <w:r>
        <w:rPr>
          <w:rFonts w:cstheme="minorHAnsi"/>
          <w:color w:val="000000" w:themeColor="text1"/>
        </w:rPr>
        <w:br/>
      </w:r>
    </w:p>
    <w:p w14:paraId="6BDF2812" w14:textId="0D710345" w:rsidR="00A23514" w:rsidRDefault="00476C8C" w:rsidP="00A23514">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43971B04" w14:textId="16F43273" w:rsidR="00A23514" w:rsidRDefault="00A23514" w:rsidP="00A23514">
      <w:pPr>
        <w:pStyle w:val="ListParagraph"/>
        <w:rPr>
          <w:rFonts w:cstheme="minorHAnsi"/>
          <w:color w:val="000000" w:themeColor="text1"/>
        </w:rPr>
      </w:pPr>
    </w:p>
    <w:p w14:paraId="35D4A022" w14:textId="4EFCF3D3" w:rsidR="00A23514" w:rsidRPr="00F917CC" w:rsidRDefault="00A23514" w:rsidP="00A23514">
      <w:pPr>
        <w:ind w:left="720"/>
        <w:rPr>
          <w:rFonts w:cstheme="minorHAnsi"/>
          <w:bCs/>
          <w:color w:val="4472C4" w:themeColor="accent5"/>
          <w:shd w:val="clear" w:color="auto" w:fill="FFFFFF"/>
        </w:rPr>
      </w:pPr>
      <w:r>
        <w:rPr>
          <w:rFonts w:cstheme="minorHAnsi"/>
          <w:bCs/>
          <w:color w:val="4472C4" w:themeColor="accent5"/>
          <w:shd w:val="clear" w:color="auto" w:fill="FFFFFF"/>
        </w:rPr>
        <w:t xml:space="preserve">Students representing a wide range of our undergraduate and graduate programs were consulted through the above mentioned DACS class and provided written and verbal feedback. They were given an opportunity to </w:t>
      </w:r>
      <w:r>
        <w:rPr>
          <w:rFonts w:cstheme="minorHAnsi"/>
          <w:bCs/>
          <w:color w:val="4472C4" w:themeColor="accent5"/>
          <w:shd w:val="clear" w:color="auto" w:fill="FFFFFF"/>
        </w:rPr>
        <w:lastRenderedPageBreak/>
        <w:t>review the draft budget submission on their own time and invited to provide written input on what, if anything, they would like changed. During the class session</w:t>
      </w:r>
      <w:r w:rsidR="00A033AC">
        <w:rPr>
          <w:rFonts w:cstheme="minorHAnsi"/>
          <w:bCs/>
          <w:color w:val="4472C4" w:themeColor="accent5"/>
          <w:shd w:val="clear" w:color="auto" w:fill="FFFFFF"/>
        </w:rPr>
        <w:t>s</w:t>
      </w:r>
      <w:r>
        <w:rPr>
          <w:rFonts w:cstheme="minorHAnsi"/>
          <w:bCs/>
          <w:color w:val="4472C4" w:themeColor="accent5"/>
          <w:shd w:val="clear" w:color="auto" w:fill="FFFFFF"/>
        </w:rPr>
        <w:t>, they were provided with an opportunity to ask questions and provide additional input. The students raised multiple points, including: 1) requesting a more direct link between tuition increases and increases in school-lev</w:t>
      </w:r>
      <w:r w:rsidR="003620B0">
        <w:rPr>
          <w:rFonts w:cstheme="minorHAnsi"/>
          <w:bCs/>
          <w:color w:val="4472C4" w:themeColor="accent5"/>
          <w:shd w:val="clear" w:color="auto" w:fill="FFFFFF"/>
        </w:rPr>
        <w:t xml:space="preserve">el scholarship funds and TA/RA positions; 2) wanted more information on how tuition increases are impacting students from </w:t>
      </w:r>
      <w:r>
        <w:rPr>
          <w:rFonts w:cstheme="minorHAnsi"/>
          <w:bCs/>
          <w:color w:val="4472C4" w:themeColor="accent5"/>
          <w:shd w:val="clear" w:color="auto" w:fill="FFFFFF"/>
        </w:rPr>
        <w:t>low income families -- how that might play out in college affordability</w:t>
      </w:r>
      <w:r w:rsidR="003620B0">
        <w:rPr>
          <w:rFonts w:cstheme="minorHAnsi"/>
          <w:bCs/>
          <w:color w:val="4472C4" w:themeColor="accent5"/>
          <w:shd w:val="clear" w:color="auto" w:fill="FFFFFF"/>
        </w:rPr>
        <w:t>, post graduate job options (i.e., more debt preventing students from taking lower paying jobs in communities of higher public health need)</w:t>
      </w:r>
      <w:r>
        <w:rPr>
          <w:rFonts w:cstheme="minorHAnsi"/>
          <w:bCs/>
          <w:color w:val="4472C4" w:themeColor="accent5"/>
          <w:shd w:val="clear" w:color="auto" w:fill="FFFFFF"/>
        </w:rPr>
        <w:t xml:space="preserve"> and whether the school </w:t>
      </w:r>
      <w:r w:rsidR="003620B0">
        <w:rPr>
          <w:rFonts w:cstheme="minorHAnsi"/>
          <w:bCs/>
          <w:color w:val="4472C4" w:themeColor="accent5"/>
          <w:shd w:val="clear" w:color="auto" w:fill="FFFFFF"/>
        </w:rPr>
        <w:t>is</w:t>
      </w:r>
      <w:r>
        <w:rPr>
          <w:rFonts w:cstheme="minorHAnsi"/>
          <w:bCs/>
          <w:color w:val="4472C4" w:themeColor="accent5"/>
          <w:shd w:val="clear" w:color="auto" w:fill="FFFFFF"/>
        </w:rPr>
        <w:t xml:space="preserve"> able to make additional </w:t>
      </w:r>
      <w:r w:rsidR="003620B0">
        <w:rPr>
          <w:rFonts w:cstheme="minorHAnsi"/>
          <w:bCs/>
          <w:color w:val="4472C4" w:themeColor="accent5"/>
          <w:shd w:val="clear" w:color="auto" w:fill="FFFFFF"/>
        </w:rPr>
        <w:t xml:space="preserve">need based </w:t>
      </w:r>
      <w:r>
        <w:rPr>
          <w:rFonts w:cstheme="minorHAnsi"/>
          <w:bCs/>
          <w:color w:val="4472C4" w:themeColor="accent5"/>
          <w:shd w:val="clear" w:color="auto" w:fill="FFFFFF"/>
        </w:rPr>
        <w:t xml:space="preserve">scholarship </w:t>
      </w:r>
      <w:r w:rsidR="003620B0">
        <w:rPr>
          <w:rFonts w:cstheme="minorHAnsi"/>
          <w:bCs/>
          <w:color w:val="4472C4" w:themeColor="accent5"/>
          <w:shd w:val="clear" w:color="auto" w:fill="FFFFFF"/>
        </w:rPr>
        <w:t xml:space="preserve">funds </w:t>
      </w:r>
      <w:r>
        <w:rPr>
          <w:rFonts w:cstheme="minorHAnsi"/>
          <w:bCs/>
          <w:color w:val="4472C4" w:themeColor="accent5"/>
          <w:shd w:val="clear" w:color="auto" w:fill="FFFFFF"/>
        </w:rPr>
        <w:t xml:space="preserve">or emergency funds available 3) asking </w:t>
      </w:r>
      <w:r w:rsidR="003620B0">
        <w:rPr>
          <w:rFonts w:cstheme="minorHAnsi"/>
          <w:bCs/>
          <w:color w:val="4472C4" w:themeColor="accent5"/>
          <w:shd w:val="clear" w:color="auto" w:fill="FFFFFF"/>
        </w:rPr>
        <w:t xml:space="preserve">for more specifics on what the school is doing to increase faculty diversity and whether more funding in general can be applied to EDI activities; 4) asking the </w:t>
      </w:r>
      <w:r>
        <w:rPr>
          <w:rFonts w:cstheme="minorHAnsi"/>
          <w:bCs/>
          <w:color w:val="4472C4" w:themeColor="accent5"/>
          <w:shd w:val="clear" w:color="auto" w:fill="FFFFFF"/>
        </w:rPr>
        <w:t xml:space="preserve">school to look at ways to reduce costs, rather than raise </w:t>
      </w:r>
      <w:r w:rsidR="003620B0">
        <w:rPr>
          <w:rFonts w:cstheme="minorHAnsi"/>
          <w:bCs/>
          <w:color w:val="4472C4" w:themeColor="accent5"/>
          <w:shd w:val="clear" w:color="auto" w:fill="FFFFFF"/>
        </w:rPr>
        <w:t>tuition</w:t>
      </w:r>
      <w:r>
        <w:rPr>
          <w:rFonts w:cstheme="minorHAnsi"/>
          <w:bCs/>
          <w:color w:val="4472C4" w:themeColor="accent5"/>
          <w:shd w:val="clear" w:color="auto" w:fill="FFFFFF"/>
        </w:rPr>
        <w:t xml:space="preserve">. We found their input to be extremely </w:t>
      </w:r>
      <w:r w:rsidR="0019046D">
        <w:rPr>
          <w:rFonts w:cstheme="minorHAnsi"/>
          <w:bCs/>
          <w:color w:val="4472C4" w:themeColor="accent5"/>
          <w:shd w:val="clear" w:color="auto" w:fill="FFFFFF"/>
        </w:rPr>
        <w:t>thoughtful</w:t>
      </w:r>
      <w:r>
        <w:rPr>
          <w:rFonts w:cstheme="minorHAnsi"/>
          <w:bCs/>
          <w:color w:val="4472C4" w:themeColor="accent5"/>
          <w:shd w:val="clear" w:color="auto" w:fill="FFFFFF"/>
        </w:rPr>
        <w:t xml:space="preserve"> and have incorporated their input herein.</w:t>
      </w:r>
    </w:p>
    <w:p w14:paraId="3140143C" w14:textId="77777777" w:rsidR="00A23514" w:rsidRPr="00A23514" w:rsidRDefault="00A23514" w:rsidP="00A23514">
      <w:pPr>
        <w:pStyle w:val="ListParagraph"/>
        <w:rPr>
          <w:rFonts w:cstheme="minorHAnsi"/>
          <w:color w:val="000000" w:themeColor="text1"/>
        </w:rPr>
      </w:pP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3"/>
      <w:footerReference w:type="default" r:id="rId14"/>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601D5E" w:rsidRDefault="00601D5E" w:rsidP="00B32DDA">
      <w:pPr>
        <w:spacing w:after="0" w:line="240" w:lineRule="auto"/>
      </w:pPr>
      <w:r>
        <w:separator/>
      </w:r>
    </w:p>
  </w:endnote>
  <w:endnote w:type="continuationSeparator" w:id="0">
    <w:p w14:paraId="48F35483" w14:textId="77777777" w:rsidR="00601D5E" w:rsidRDefault="00601D5E" w:rsidP="00B32DDA">
      <w:pPr>
        <w:spacing w:after="0" w:line="240" w:lineRule="auto"/>
      </w:pPr>
      <w:r>
        <w:continuationSeparator/>
      </w:r>
    </w:p>
  </w:endnote>
  <w:endnote w:type="continuationNotice" w:id="1">
    <w:p w14:paraId="624DD8D6" w14:textId="77777777" w:rsidR="00601D5E" w:rsidRDefault="00601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00601D5E" w14:paraId="2BEDCE9A" w14:textId="77777777" w:rsidTr="00842646">
      <w:tc>
        <w:tcPr>
          <w:tcW w:w="3600" w:type="dxa"/>
        </w:tcPr>
        <w:p w14:paraId="1D1F8A89" w14:textId="266DEB21" w:rsidR="00601D5E" w:rsidRDefault="00601D5E" w:rsidP="00662EC1">
          <w:pPr>
            <w:pStyle w:val="Header"/>
            <w:ind w:left="-115"/>
          </w:pPr>
        </w:p>
      </w:tc>
      <w:tc>
        <w:tcPr>
          <w:tcW w:w="3600" w:type="dxa"/>
        </w:tcPr>
        <w:p w14:paraId="16AB9852" w14:textId="6FB747C2" w:rsidR="00601D5E" w:rsidRDefault="00601D5E" w:rsidP="00662EC1">
          <w:pPr>
            <w:pStyle w:val="Header"/>
            <w:jc w:val="center"/>
          </w:pPr>
        </w:p>
      </w:tc>
      <w:tc>
        <w:tcPr>
          <w:tcW w:w="3600" w:type="dxa"/>
        </w:tcPr>
        <w:p w14:paraId="20CA9C9B" w14:textId="10571265" w:rsidR="00601D5E" w:rsidRDefault="00601D5E" w:rsidP="00662EC1">
          <w:pPr>
            <w:pStyle w:val="Header"/>
            <w:ind w:right="-115"/>
            <w:jc w:val="right"/>
          </w:pPr>
        </w:p>
      </w:tc>
    </w:tr>
  </w:tbl>
  <w:p w14:paraId="5158184E" w14:textId="7F3A2F8B" w:rsidR="00601D5E" w:rsidRDefault="00601D5E"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601D5E" w:rsidRDefault="00601D5E" w:rsidP="00B32DDA">
      <w:pPr>
        <w:spacing w:after="0" w:line="240" w:lineRule="auto"/>
      </w:pPr>
      <w:r>
        <w:separator/>
      </w:r>
    </w:p>
  </w:footnote>
  <w:footnote w:type="continuationSeparator" w:id="0">
    <w:p w14:paraId="3833FAB2" w14:textId="77777777" w:rsidR="00601D5E" w:rsidRDefault="00601D5E" w:rsidP="00B32DDA">
      <w:pPr>
        <w:spacing w:after="0" w:line="240" w:lineRule="auto"/>
      </w:pPr>
      <w:r>
        <w:continuationSeparator/>
      </w:r>
    </w:p>
  </w:footnote>
  <w:footnote w:type="continuationNotice" w:id="1">
    <w:p w14:paraId="5DF1D0D3" w14:textId="77777777" w:rsidR="00601D5E" w:rsidRDefault="00601D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01D5E" w:rsidRDefault="00601D5E"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A410D86" w:rsidR="00601D5E" w:rsidRPr="00D958B1" w:rsidRDefault="00601D5E" w:rsidP="00D958B1">
    <w:pPr>
      <w:pStyle w:val="Header"/>
      <w:spacing w:line="360" w:lineRule="auto"/>
      <w:jc w:val="center"/>
      <w:rPr>
        <w:sz w:val="24"/>
      </w:rPr>
    </w:pPr>
    <w:r w:rsidRPr="00D958B1">
      <w:rPr>
        <w:sz w:val="24"/>
      </w:rPr>
      <w:t>FY202</w:t>
    </w:r>
    <w:r>
      <w:rPr>
        <w:sz w:val="24"/>
      </w:rPr>
      <w:t>3</w:t>
    </w:r>
    <w:r w:rsidRPr="00D958B1">
      <w:rPr>
        <w:sz w:val="24"/>
      </w:rPr>
      <w:t xml:space="preserve"> Annual Review Narrative Survey</w:t>
    </w:r>
    <w:r>
      <w:rPr>
        <w:sz w:val="24"/>
      </w:rPr>
      <w:br/>
    </w:r>
    <w:r>
      <w:rPr>
        <w:b/>
        <w:sz w:val="24"/>
      </w:rPr>
      <w:t xml:space="preserve">Submission For: </w:t>
    </w:r>
    <w:r w:rsidRPr="0048108E">
      <w:rPr>
        <w:b/>
        <w:sz w:val="24"/>
      </w:rPr>
      <w:t>School of Public Health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30F86"/>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9046D"/>
    <w:rsid w:val="001A1429"/>
    <w:rsid w:val="001A616B"/>
    <w:rsid w:val="001B0419"/>
    <w:rsid w:val="001B1405"/>
    <w:rsid w:val="001D51F7"/>
    <w:rsid w:val="001D5FF1"/>
    <w:rsid w:val="001D61B2"/>
    <w:rsid w:val="001E15CB"/>
    <w:rsid w:val="00222C60"/>
    <w:rsid w:val="0024050D"/>
    <w:rsid w:val="00240A5C"/>
    <w:rsid w:val="00240D4A"/>
    <w:rsid w:val="00251D03"/>
    <w:rsid w:val="002729C0"/>
    <w:rsid w:val="00273A6B"/>
    <w:rsid w:val="00287ACB"/>
    <w:rsid w:val="00291C01"/>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43F4E"/>
    <w:rsid w:val="0035220D"/>
    <w:rsid w:val="00355FE6"/>
    <w:rsid w:val="00357F1E"/>
    <w:rsid w:val="00361633"/>
    <w:rsid w:val="00361C47"/>
    <w:rsid w:val="003620B0"/>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8108E"/>
    <w:rsid w:val="004916D2"/>
    <w:rsid w:val="00494197"/>
    <w:rsid w:val="004A1C22"/>
    <w:rsid w:val="004A6D44"/>
    <w:rsid w:val="004B6373"/>
    <w:rsid w:val="004B6E46"/>
    <w:rsid w:val="004C461F"/>
    <w:rsid w:val="00504523"/>
    <w:rsid w:val="00512F9C"/>
    <w:rsid w:val="0052284F"/>
    <w:rsid w:val="005228D7"/>
    <w:rsid w:val="00530F40"/>
    <w:rsid w:val="0054075C"/>
    <w:rsid w:val="00552F1F"/>
    <w:rsid w:val="00561815"/>
    <w:rsid w:val="005652FA"/>
    <w:rsid w:val="00570EE2"/>
    <w:rsid w:val="00575AD3"/>
    <w:rsid w:val="005A56B3"/>
    <w:rsid w:val="005A5D7D"/>
    <w:rsid w:val="005C6411"/>
    <w:rsid w:val="005D64AE"/>
    <w:rsid w:val="00600CA9"/>
    <w:rsid w:val="00601D5E"/>
    <w:rsid w:val="00605E7E"/>
    <w:rsid w:val="00643B1F"/>
    <w:rsid w:val="0064756B"/>
    <w:rsid w:val="00650501"/>
    <w:rsid w:val="00653191"/>
    <w:rsid w:val="00655540"/>
    <w:rsid w:val="0065603F"/>
    <w:rsid w:val="00656980"/>
    <w:rsid w:val="00661BA6"/>
    <w:rsid w:val="00662EC1"/>
    <w:rsid w:val="00664FC6"/>
    <w:rsid w:val="00675F50"/>
    <w:rsid w:val="00676549"/>
    <w:rsid w:val="006A02E6"/>
    <w:rsid w:val="006A14EE"/>
    <w:rsid w:val="006A4AC9"/>
    <w:rsid w:val="006B2C9D"/>
    <w:rsid w:val="006B3EE4"/>
    <w:rsid w:val="006C1D2A"/>
    <w:rsid w:val="006E71B5"/>
    <w:rsid w:val="006F1030"/>
    <w:rsid w:val="00704E5A"/>
    <w:rsid w:val="00711B8D"/>
    <w:rsid w:val="00724FAE"/>
    <w:rsid w:val="00726D8D"/>
    <w:rsid w:val="0073462A"/>
    <w:rsid w:val="0073515C"/>
    <w:rsid w:val="007415B4"/>
    <w:rsid w:val="0074537D"/>
    <w:rsid w:val="00746AE1"/>
    <w:rsid w:val="00746DA1"/>
    <w:rsid w:val="00794274"/>
    <w:rsid w:val="007976B8"/>
    <w:rsid w:val="007C3204"/>
    <w:rsid w:val="007D114D"/>
    <w:rsid w:val="007D163D"/>
    <w:rsid w:val="007D5F06"/>
    <w:rsid w:val="007D7335"/>
    <w:rsid w:val="007D7963"/>
    <w:rsid w:val="007F0C2A"/>
    <w:rsid w:val="00814E55"/>
    <w:rsid w:val="00822B2E"/>
    <w:rsid w:val="00832209"/>
    <w:rsid w:val="00842646"/>
    <w:rsid w:val="00843F9E"/>
    <w:rsid w:val="00857957"/>
    <w:rsid w:val="00866666"/>
    <w:rsid w:val="0087316F"/>
    <w:rsid w:val="00885D07"/>
    <w:rsid w:val="00886046"/>
    <w:rsid w:val="0089023D"/>
    <w:rsid w:val="00893463"/>
    <w:rsid w:val="008A52B9"/>
    <w:rsid w:val="008A7761"/>
    <w:rsid w:val="008B2E13"/>
    <w:rsid w:val="008B69E9"/>
    <w:rsid w:val="008B7FF9"/>
    <w:rsid w:val="008C0D83"/>
    <w:rsid w:val="008E1596"/>
    <w:rsid w:val="008E29D1"/>
    <w:rsid w:val="008E4785"/>
    <w:rsid w:val="008F19DE"/>
    <w:rsid w:val="00907505"/>
    <w:rsid w:val="0091057C"/>
    <w:rsid w:val="00911AA0"/>
    <w:rsid w:val="00925570"/>
    <w:rsid w:val="00942D98"/>
    <w:rsid w:val="00945195"/>
    <w:rsid w:val="0095513B"/>
    <w:rsid w:val="00972D7C"/>
    <w:rsid w:val="0098683D"/>
    <w:rsid w:val="009964D4"/>
    <w:rsid w:val="009A4CB0"/>
    <w:rsid w:val="009A6B1D"/>
    <w:rsid w:val="009B22D3"/>
    <w:rsid w:val="009D7FF4"/>
    <w:rsid w:val="009E117E"/>
    <w:rsid w:val="009F1C54"/>
    <w:rsid w:val="009F3D17"/>
    <w:rsid w:val="009F70E6"/>
    <w:rsid w:val="00A033AC"/>
    <w:rsid w:val="00A128D2"/>
    <w:rsid w:val="00A203EC"/>
    <w:rsid w:val="00A226B0"/>
    <w:rsid w:val="00A23514"/>
    <w:rsid w:val="00A24702"/>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332E"/>
    <w:rsid w:val="00B06C29"/>
    <w:rsid w:val="00B106C6"/>
    <w:rsid w:val="00B147EF"/>
    <w:rsid w:val="00B173E7"/>
    <w:rsid w:val="00B2121A"/>
    <w:rsid w:val="00B32DDA"/>
    <w:rsid w:val="00B41CA3"/>
    <w:rsid w:val="00B41DC0"/>
    <w:rsid w:val="00B455EC"/>
    <w:rsid w:val="00B461CF"/>
    <w:rsid w:val="00B5038C"/>
    <w:rsid w:val="00B51A93"/>
    <w:rsid w:val="00B7258B"/>
    <w:rsid w:val="00B82405"/>
    <w:rsid w:val="00B835F7"/>
    <w:rsid w:val="00B92A6A"/>
    <w:rsid w:val="00B9357F"/>
    <w:rsid w:val="00B953D8"/>
    <w:rsid w:val="00BA1835"/>
    <w:rsid w:val="00BA1B00"/>
    <w:rsid w:val="00BA2BB0"/>
    <w:rsid w:val="00BA2F0F"/>
    <w:rsid w:val="00BB6402"/>
    <w:rsid w:val="00BD42C5"/>
    <w:rsid w:val="00BE504B"/>
    <w:rsid w:val="00BE5C85"/>
    <w:rsid w:val="00BF0F26"/>
    <w:rsid w:val="00C1060B"/>
    <w:rsid w:val="00C12DFE"/>
    <w:rsid w:val="00C14704"/>
    <w:rsid w:val="00C1631D"/>
    <w:rsid w:val="00C1650C"/>
    <w:rsid w:val="00C23545"/>
    <w:rsid w:val="00C31503"/>
    <w:rsid w:val="00C34469"/>
    <w:rsid w:val="00C37A43"/>
    <w:rsid w:val="00C5063A"/>
    <w:rsid w:val="00C612F4"/>
    <w:rsid w:val="00C771C8"/>
    <w:rsid w:val="00C80DEF"/>
    <w:rsid w:val="00C8405C"/>
    <w:rsid w:val="00C85B90"/>
    <w:rsid w:val="00C95BD6"/>
    <w:rsid w:val="00CA5FD2"/>
    <w:rsid w:val="00CB3570"/>
    <w:rsid w:val="00CB5E5E"/>
    <w:rsid w:val="00CB78CA"/>
    <w:rsid w:val="00CBE295"/>
    <w:rsid w:val="00CC3113"/>
    <w:rsid w:val="00CC33EF"/>
    <w:rsid w:val="00CF329B"/>
    <w:rsid w:val="00CF4DCE"/>
    <w:rsid w:val="00CF6C4C"/>
    <w:rsid w:val="00D067C1"/>
    <w:rsid w:val="00D173CB"/>
    <w:rsid w:val="00D4196D"/>
    <w:rsid w:val="00D55A46"/>
    <w:rsid w:val="00D56F6F"/>
    <w:rsid w:val="00D654BD"/>
    <w:rsid w:val="00D72D1A"/>
    <w:rsid w:val="00D807D0"/>
    <w:rsid w:val="00D807D6"/>
    <w:rsid w:val="00D8252E"/>
    <w:rsid w:val="00D84ECE"/>
    <w:rsid w:val="00D85682"/>
    <w:rsid w:val="00D8639B"/>
    <w:rsid w:val="00D958B1"/>
    <w:rsid w:val="00DA273A"/>
    <w:rsid w:val="00DA2A0B"/>
    <w:rsid w:val="00DC2234"/>
    <w:rsid w:val="00DD150F"/>
    <w:rsid w:val="00DD34E9"/>
    <w:rsid w:val="00DD77A5"/>
    <w:rsid w:val="00DE6999"/>
    <w:rsid w:val="00DF152C"/>
    <w:rsid w:val="00E14ADD"/>
    <w:rsid w:val="00E20111"/>
    <w:rsid w:val="00E3553A"/>
    <w:rsid w:val="00E65165"/>
    <w:rsid w:val="00E65DC5"/>
    <w:rsid w:val="00E6695E"/>
    <w:rsid w:val="00E73C1C"/>
    <w:rsid w:val="00E74782"/>
    <w:rsid w:val="00E767C4"/>
    <w:rsid w:val="00E76E6D"/>
    <w:rsid w:val="00E808F9"/>
    <w:rsid w:val="00EA7ACB"/>
    <w:rsid w:val="00EB5200"/>
    <w:rsid w:val="00EC5BAE"/>
    <w:rsid w:val="00ED3499"/>
    <w:rsid w:val="00EE47B4"/>
    <w:rsid w:val="00EF5A93"/>
    <w:rsid w:val="00F000E6"/>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17F0"/>
    <w:rsid w:val="00FC2739"/>
    <w:rsid w:val="00FC3EDA"/>
    <w:rsid w:val="00FC72E3"/>
    <w:rsid w:val="00FD7F5B"/>
    <w:rsid w:val="00FF244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857573648">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rht@uw.ed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0B5740-F5E8-468A-8F9B-5EE3C4CF0609}">
  <ds:schemaRefs>
    <ds:schemaRef ds:uri="http://schemas.openxmlformats.org/officeDocument/2006/bibliography"/>
  </ds:schemaRefs>
</ds:datastoreItem>
</file>

<file path=customXml/itemProps2.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3.xml><?xml version="1.0" encoding="utf-8"?>
<ds:datastoreItem xmlns:ds="http://schemas.openxmlformats.org/officeDocument/2006/customXml" ds:itemID="{155DF996-00D7-4DDC-A062-8045E20D61B3}">
  <ds:schemaRefs>
    <ds:schemaRef ds:uri="http://purl.org/dc/elements/1.1/"/>
    <ds:schemaRef ds:uri="5da01898-ba06-4224-99c2-ad34469b91b0"/>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cbe1e94d-575c-40b7-87c9-e57a80e073b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6</Pages>
  <Words>2086</Words>
  <Characters>11895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18</cp:revision>
  <dcterms:created xsi:type="dcterms:W3CDTF">2021-12-03T22:33:00Z</dcterms:created>
  <dcterms:modified xsi:type="dcterms:W3CDTF">2022-02-05T00:02:00Z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