
<file path=[Content_Types].xml><?xml version="1.0" encoding="utf-8"?>
<Types xmlns="http://schemas.openxmlformats.org/package/2006/content-types">
  <Default Extension="emf" ContentType="image/x-emf"/>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C8" w:rsidRDefault="00B27FF5">
      <w:pPr>
        <w:jc w:val="center"/>
        <w:rPr>
          <w:rFonts w:ascii="Arial" w:hAnsi="Arial"/>
          <w:b/>
          <w:sz w:val="52"/>
        </w:rPr>
      </w:pPr>
      <w:bookmarkStart w:id="0" w:name="_GoBack"/>
      <w:bookmarkEnd w:id="0"/>
      <w:r>
        <w:rPr>
          <w:rFonts w:ascii="Arial" w:hAnsi="Arial"/>
          <w:b/>
          <w:sz w:val="52"/>
        </w:rPr>
        <w:t>Financial Accounting</w:t>
      </w:r>
    </w:p>
    <w:p w:rsidR="005A19A7" w:rsidRDefault="005A19A7">
      <w:pPr>
        <w:jc w:val="center"/>
        <w:rPr>
          <w:rFonts w:ascii="Arial" w:hAnsi="Arial"/>
          <w:b/>
          <w:sz w:val="52"/>
        </w:rPr>
      </w:pPr>
      <w:smartTag w:uri="urn:schemas-microsoft-com:office:smarttags" w:element="place">
        <w:smartTag w:uri="urn:schemas-microsoft-com:office:smarttags" w:element="PlaceType">
          <w:r>
            <w:rPr>
              <w:rFonts w:ascii="Arial" w:hAnsi="Arial"/>
              <w:b/>
              <w:sz w:val="52"/>
            </w:rPr>
            <w:t>University</w:t>
          </w:r>
        </w:smartTag>
        <w:r>
          <w:rPr>
            <w:rFonts w:ascii="Arial" w:hAnsi="Arial"/>
            <w:b/>
            <w:sz w:val="52"/>
          </w:rPr>
          <w:t xml:space="preserve"> of </w:t>
        </w:r>
        <w:smartTag w:uri="urn:schemas-microsoft-com:office:smarttags" w:element="City">
          <w:r>
            <w:rPr>
              <w:rFonts w:ascii="Arial" w:hAnsi="Arial"/>
              <w:b/>
              <w:sz w:val="52"/>
            </w:rPr>
            <w:t>Washington</w:t>
          </w:r>
        </w:smartTag>
      </w:smartTag>
    </w:p>
    <w:p w:rsidR="00226080" w:rsidRDefault="004F61C8">
      <w:pPr>
        <w:jc w:val="center"/>
        <w:rPr>
          <w:rFonts w:ascii="Arial" w:hAnsi="Arial"/>
          <w:b/>
          <w:sz w:val="52"/>
        </w:rPr>
      </w:pPr>
      <w:r>
        <w:rPr>
          <w:rFonts w:ascii="Arial" w:hAnsi="Arial"/>
          <w:b/>
          <w:sz w:val="52"/>
        </w:rPr>
        <w:t xml:space="preserve">Operational Performance Dashboard </w:t>
      </w:r>
    </w:p>
    <w:p w:rsidR="00226080" w:rsidRDefault="00226080">
      <w:pPr>
        <w:jc w:val="center"/>
        <w:rPr>
          <w:rFonts w:ascii="Arial" w:hAnsi="Arial"/>
          <w:b/>
          <w:sz w:val="52"/>
        </w:rPr>
      </w:pPr>
      <w:r>
        <w:rPr>
          <w:rFonts w:ascii="Arial" w:hAnsi="Arial"/>
          <w:b/>
          <w:sz w:val="52"/>
        </w:rPr>
        <w:t xml:space="preserve">As of </w:t>
      </w:r>
      <w:r w:rsidR="002E289E">
        <w:rPr>
          <w:rFonts w:ascii="Arial" w:hAnsi="Arial"/>
          <w:b/>
          <w:sz w:val="52"/>
        </w:rPr>
        <w:t>December</w:t>
      </w:r>
      <w:r w:rsidR="005057C8">
        <w:rPr>
          <w:rFonts w:ascii="Arial" w:hAnsi="Arial"/>
          <w:b/>
          <w:sz w:val="52"/>
        </w:rPr>
        <w:t xml:space="preserve"> </w:t>
      </w:r>
      <w:r>
        <w:rPr>
          <w:rFonts w:ascii="Arial" w:hAnsi="Arial"/>
          <w:b/>
          <w:sz w:val="52"/>
        </w:rPr>
        <w:t>20</w:t>
      </w:r>
      <w:r w:rsidR="0073495E">
        <w:rPr>
          <w:rFonts w:ascii="Arial" w:hAnsi="Arial"/>
          <w:b/>
          <w:sz w:val="52"/>
        </w:rPr>
        <w:t>11</w:t>
      </w:r>
    </w:p>
    <w:p w:rsidR="00DD3B30" w:rsidRDefault="00226080">
      <w:pPr>
        <w:jc w:val="center"/>
        <w:rPr>
          <w:rFonts w:ascii="Arial" w:hAnsi="Arial"/>
          <w:b/>
          <w:sz w:val="52"/>
        </w:rPr>
      </w:pPr>
      <w:r>
        <w:rPr>
          <w:rFonts w:ascii="Arial" w:hAnsi="Arial"/>
          <w:b/>
          <w:sz w:val="52"/>
        </w:rPr>
        <w:t>FY 20</w:t>
      </w:r>
      <w:r w:rsidR="00B27FF5">
        <w:rPr>
          <w:rFonts w:ascii="Arial" w:hAnsi="Arial"/>
          <w:b/>
          <w:sz w:val="52"/>
        </w:rPr>
        <w:t>1</w:t>
      </w:r>
      <w:r w:rsidR="0073495E">
        <w:rPr>
          <w:rFonts w:ascii="Arial" w:hAnsi="Arial"/>
          <w:b/>
          <w:sz w:val="52"/>
        </w:rPr>
        <w:t>2</w:t>
      </w:r>
      <w:r>
        <w:rPr>
          <w:rFonts w:ascii="Arial" w:hAnsi="Arial"/>
          <w:b/>
          <w:sz w:val="52"/>
        </w:rPr>
        <w:t xml:space="preserve"> Quarter </w:t>
      </w:r>
      <w:r w:rsidR="002E289E">
        <w:rPr>
          <w:rFonts w:ascii="Arial" w:hAnsi="Arial"/>
          <w:b/>
          <w:sz w:val="52"/>
        </w:rPr>
        <w:t>2</w:t>
      </w:r>
      <w:r>
        <w:rPr>
          <w:rFonts w:ascii="Arial" w:hAnsi="Arial"/>
          <w:b/>
          <w:sz w:val="52"/>
        </w:rPr>
        <w:t xml:space="preserve"> (</w:t>
      </w:r>
      <w:r w:rsidR="002E289E">
        <w:rPr>
          <w:rFonts w:ascii="Arial" w:hAnsi="Arial"/>
          <w:b/>
          <w:sz w:val="52"/>
        </w:rPr>
        <w:t>Oct - Dec</w:t>
      </w:r>
      <w:r w:rsidR="0073495E">
        <w:rPr>
          <w:rFonts w:ascii="Arial" w:hAnsi="Arial"/>
          <w:b/>
          <w:sz w:val="52"/>
        </w:rPr>
        <w:t xml:space="preserve"> </w:t>
      </w:r>
      <w:r>
        <w:rPr>
          <w:rFonts w:ascii="Arial" w:hAnsi="Arial"/>
          <w:b/>
          <w:sz w:val="52"/>
        </w:rPr>
        <w:t>20</w:t>
      </w:r>
      <w:r w:rsidR="009C2028">
        <w:rPr>
          <w:rFonts w:ascii="Arial" w:hAnsi="Arial"/>
          <w:b/>
          <w:sz w:val="52"/>
        </w:rPr>
        <w:t>11</w:t>
      </w:r>
      <w:r>
        <w:rPr>
          <w:rFonts w:ascii="Arial" w:hAnsi="Arial"/>
          <w:b/>
          <w:sz w:val="52"/>
        </w:rPr>
        <w:t>)</w:t>
      </w:r>
      <w:r w:rsidR="004F61C8">
        <w:rPr>
          <w:rFonts w:ascii="Arial" w:hAnsi="Arial"/>
          <w:b/>
          <w:sz w:val="52"/>
        </w:rPr>
        <w:t xml:space="preserve"> </w:t>
      </w:r>
    </w:p>
    <w:p w:rsidR="004F61C8" w:rsidRDefault="004F61C8"/>
    <w:p w:rsidR="004F61C8" w:rsidRDefault="004F61C8">
      <w:pPr>
        <w:pBdr>
          <w:bottom w:val="thinThickThinSmallGap" w:sz="24" w:space="1" w:color="auto"/>
        </w:pBdr>
      </w:pPr>
    </w:p>
    <w:p w:rsidR="004F61C8" w:rsidRDefault="004F61C8"/>
    <w:p w:rsidR="004F61C8" w:rsidRDefault="00B27FF5">
      <w:pPr>
        <w:jc w:val="center"/>
        <w:rPr>
          <w:b/>
          <w:sz w:val="36"/>
        </w:rPr>
      </w:pPr>
      <w:r>
        <w:rPr>
          <w:b/>
          <w:sz w:val="28"/>
        </w:rPr>
        <w:t>Financial Accounting</w:t>
      </w:r>
      <w:r w:rsidR="005A4B8F">
        <w:rPr>
          <w:b/>
          <w:sz w:val="28"/>
        </w:rPr>
        <w:t>’</w:t>
      </w:r>
      <w:r>
        <w:rPr>
          <w:b/>
          <w:sz w:val="28"/>
        </w:rPr>
        <w:t>s</w:t>
      </w:r>
      <w:r w:rsidR="004F61C8">
        <w:rPr>
          <w:b/>
          <w:sz w:val="28"/>
        </w:rPr>
        <w:t xml:space="preserve"> Mission</w:t>
      </w:r>
    </w:p>
    <w:p w:rsidR="005A4B8F" w:rsidRDefault="005A4B8F">
      <w:pPr>
        <w:jc w:val="center"/>
        <w:rPr>
          <w:b/>
        </w:rPr>
      </w:pPr>
    </w:p>
    <w:p w:rsidR="005A4B8F" w:rsidRPr="002E3F86" w:rsidRDefault="005A4B8F">
      <w:pPr>
        <w:jc w:val="center"/>
        <w:rPr>
          <w:i/>
          <w:sz w:val="28"/>
          <w:szCs w:val="28"/>
        </w:rPr>
      </w:pPr>
      <w:r w:rsidRPr="002E3F86">
        <w:rPr>
          <w:i/>
          <w:sz w:val="28"/>
          <w:szCs w:val="28"/>
        </w:rPr>
        <w:t xml:space="preserve">To </w:t>
      </w:r>
      <w:r w:rsidR="00B27FF5">
        <w:rPr>
          <w:i/>
          <w:sz w:val="28"/>
          <w:szCs w:val="28"/>
        </w:rPr>
        <w:t>provide financial reporting, consulting, trouble-shooting and education to the University community as well as maintain the integrity and credibility of the University’s financial accounting system.</w:t>
      </w:r>
      <w:r w:rsidRPr="002E3F86">
        <w:rPr>
          <w:i/>
          <w:sz w:val="28"/>
          <w:szCs w:val="28"/>
        </w:rPr>
        <w:t xml:space="preserve"> </w:t>
      </w:r>
    </w:p>
    <w:p w:rsidR="005A4B8F" w:rsidRPr="005A4B8F" w:rsidRDefault="005A4B8F">
      <w:pPr>
        <w:jc w:val="center"/>
        <w:rPr>
          <w:i/>
          <w:sz w:val="24"/>
          <w:szCs w:val="24"/>
        </w:rPr>
      </w:pPr>
    </w:p>
    <w:p w:rsidR="005A4B8F" w:rsidRDefault="005A4B8F">
      <w:pPr>
        <w:jc w:val="center"/>
        <w:rPr>
          <w:b/>
        </w:rPr>
      </w:pPr>
    </w:p>
    <w:p w:rsidR="004F61C8" w:rsidRDefault="004F61C8">
      <w:pPr>
        <w:jc w:val="center"/>
        <w:rPr>
          <w:b/>
          <w:sz w:val="28"/>
        </w:rPr>
      </w:pPr>
      <w:r>
        <w:rPr>
          <w:b/>
          <w:sz w:val="28"/>
        </w:rPr>
        <w:t>Our key processes include:</w:t>
      </w:r>
    </w:p>
    <w:p w:rsidR="00403919" w:rsidRPr="005A19A7" w:rsidRDefault="00403919">
      <w:pPr>
        <w:jc w:val="center"/>
        <w:rPr>
          <w:b/>
          <w:sz w:val="24"/>
          <w:szCs w:val="24"/>
        </w:rPr>
      </w:pPr>
    </w:p>
    <w:p w:rsidR="0020394A" w:rsidRDefault="006540E3" w:rsidP="00044081">
      <w:pPr>
        <w:ind w:left="720" w:firstLine="720"/>
        <w:rPr>
          <w:i/>
          <w:sz w:val="24"/>
        </w:rPr>
      </w:pPr>
      <w:r>
        <w:rPr>
          <w:i/>
          <w:sz w:val="24"/>
        </w:rPr>
        <w:t>Customer Service to Campus and Central Offices</w:t>
      </w:r>
      <w:r w:rsidR="00044081">
        <w:rPr>
          <w:i/>
          <w:sz w:val="24"/>
        </w:rPr>
        <w:tab/>
      </w:r>
      <w:r w:rsidR="00044081">
        <w:rPr>
          <w:i/>
          <w:sz w:val="24"/>
        </w:rPr>
        <w:tab/>
      </w:r>
      <w:r w:rsidR="00044081">
        <w:rPr>
          <w:i/>
          <w:sz w:val="24"/>
        </w:rPr>
        <w:tab/>
        <w:t>Manage Financial Information</w:t>
      </w:r>
    </w:p>
    <w:p w:rsidR="006540E3" w:rsidRDefault="00044081" w:rsidP="00044081">
      <w:pPr>
        <w:ind w:left="720" w:firstLine="720"/>
        <w:rPr>
          <w:i/>
          <w:sz w:val="24"/>
        </w:rPr>
      </w:pPr>
      <w:r>
        <w:rPr>
          <w:i/>
          <w:sz w:val="24"/>
        </w:rPr>
        <w:t xml:space="preserve">Annual </w:t>
      </w:r>
      <w:r w:rsidR="006540E3">
        <w:rPr>
          <w:i/>
          <w:sz w:val="24"/>
        </w:rPr>
        <w:t xml:space="preserve">Financial </w:t>
      </w:r>
      <w:r>
        <w:rPr>
          <w:i/>
          <w:sz w:val="24"/>
        </w:rPr>
        <w:t>Reporting</w:t>
      </w:r>
      <w:r>
        <w:rPr>
          <w:i/>
          <w:sz w:val="24"/>
        </w:rPr>
        <w:tab/>
      </w:r>
      <w:r>
        <w:rPr>
          <w:i/>
          <w:sz w:val="24"/>
        </w:rPr>
        <w:tab/>
      </w:r>
      <w:r>
        <w:rPr>
          <w:i/>
          <w:sz w:val="24"/>
        </w:rPr>
        <w:tab/>
      </w:r>
      <w:r>
        <w:rPr>
          <w:i/>
          <w:sz w:val="24"/>
        </w:rPr>
        <w:tab/>
      </w:r>
      <w:r>
        <w:rPr>
          <w:i/>
          <w:sz w:val="24"/>
        </w:rPr>
        <w:tab/>
      </w:r>
      <w:r>
        <w:rPr>
          <w:i/>
          <w:sz w:val="24"/>
        </w:rPr>
        <w:tab/>
        <w:t>Process Journal Vouchers</w:t>
      </w:r>
    </w:p>
    <w:p w:rsidR="006540E3" w:rsidRDefault="00044081" w:rsidP="00044081">
      <w:pPr>
        <w:rPr>
          <w:i/>
          <w:sz w:val="24"/>
        </w:rPr>
      </w:pPr>
      <w:r>
        <w:rPr>
          <w:i/>
          <w:sz w:val="24"/>
        </w:rPr>
        <w:tab/>
      </w:r>
      <w:r>
        <w:rPr>
          <w:i/>
          <w:sz w:val="24"/>
        </w:rPr>
        <w:tab/>
        <w:t>Manage Field Advances</w:t>
      </w:r>
      <w:r>
        <w:rPr>
          <w:i/>
          <w:sz w:val="24"/>
        </w:rPr>
        <w:tab/>
      </w:r>
      <w:r>
        <w:rPr>
          <w:i/>
          <w:sz w:val="24"/>
        </w:rPr>
        <w:tab/>
      </w:r>
      <w:r>
        <w:rPr>
          <w:i/>
          <w:sz w:val="24"/>
        </w:rPr>
        <w:tab/>
      </w:r>
      <w:r>
        <w:rPr>
          <w:i/>
          <w:sz w:val="24"/>
        </w:rPr>
        <w:tab/>
      </w:r>
      <w:r>
        <w:rPr>
          <w:i/>
          <w:sz w:val="24"/>
        </w:rPr>
        <w:tab/>
      </w:r>
      <w:r>
        <w:rPr>
          <w:i/>
          <w:sz w:val="24"/>
        </w:rPr>
        <w:tab/>
        <w:t>Manage Revolving Funds</w:t>
      </w:r>
    </w:p>
    <w:p w:rsidR="00044081" w:rsidRDefault="00044081" w:rsidP="00044081">
      <w:pPr>
        <w:rPr>
          <w:i/>
          <w:sz w:val="24"/>
        </w:rPr>
      </w:pPr>
      <w:r>
        <w:rPr>
          <w:i/>
          <w:sz w:val="24"/>
        </w:rPr>
        <w:tab/>
      </w:r>
      <w:r>
        <w:rPr>
          <w:i/>
          <w:sz w:val="24"/>
        </w:rPr>
        <w:tab/>
        <w:t>Manage UW Operating Bank Account</w:t>
      </w:r>
      <w:r>
        <w:rPr>
          <w:i/>
          <w:sz w:val="24"/>
        </w:rPr>
        <w:tab/>
      </w:r>
      <w:r>
        <w:rPr>
          <w:i/>
          <w:sz w:val="24"/>
        </w:rPr>
        <w:tab/>
      </w:r>
      <w:r>
        <w:rPr>
          <w:i/>
          <w:sz w:val="24"/>
        </w:rPr>
        <w:tab/>
      </w:r>
      <w:r>
        <w:rPr>
          <w:i/>
          <w:sz w:val="24"/>
        </w:rPr>
        <w:tab/>
        <w:t>Process Non PO Related Wire and ACH Payments</w:t>
      </w:r>
    </w:p>
    <w:p w:rsidR="00044081" w:rsidRDefault="00044081" w:rsidP="00044081">
      <w:pPr>
        <w:rPr>
          <w:i/>
          <w:sz w:val="24"/>
        </w:rPr>
      </w:pPr>
      <w:r>
        <w:rPr>
          <w:i/>
          <w:sz w:val="24"/>
        </w:rPr>
        <w:tab/>
      </w:r>
      <w:r>
        <w:rPr>
          <w:i/>
          <w:sz w:val="24"/>
        </w:rPr>
        <w:tab/>
        <w:t>Perform and Review Significant UW GL Reconciliations</w:t>
      </w:r>
      <w:r>
        <w:rPr>
          <w:i/>
          <w:sz w:val="24"/>
        </w:rPr>
        <w:tab/>
      </w:r>
      <w:r>
        <w:rPr>
          <w:i/>
          <w:sz w:val="24"/>
        </w:rPr>
        <w:tab/>
        <w:t>Use Resources Efficiently</w:t>
      </w:r>
    </w:p>
    <w:p w:rsidR="006540E3" w:rsidRDefault="006540E3" w:rsidP="00044081">
      <w:pPr>
        <w:ind w:left="720" w:firstLine="720"/>
        <w:rPr>
          <w:i/>
          <w:sz w:val="24"/>
        </w:rPr>
      </w:pPr>
      <w:r>
        <w:rPr>
          <w:i/>
          <w:sz w:val="24"/>
        </w:rPr>
        <w:t>Develop Staff</w:t>
      </w:r>
    </w:p>
    <w:p w:rsidR="00A223FA" w:rsidRDefault="004737DA" w:rsidP="00044081">
      <w:r>
        <w:rPr>
          <w:i/>
          <w:sz w:val="24"/>
        </w:rPr>
        <w:tab/>
      </w:r>
      <w:r>
        <w:rPr>
          <w:i/>
          <w:sz w:val="24"/>
        </w:rPr>
        <w:tab/>
      </w:r>
      <w:r>
        <w:rPr>
          <w:i/>
          <w:sz w:val="24"/>
        </w:rPr>
        <w:tab/>
      </w:r>
      <w:r w:rsidR="004F61C8">
        <w:tab/>
      </w:r>
    </w:p>
    <w:p w:rsidR="00044081" w:rsidRDefault="004F61C8" w:rsidP="00044081">
      <w:r>
        <w:tab/>
      </w:r>
    </w:p>
    <w:p w:rsidR="00226080" w:rsidRDefault="004F61C8" w:rsidP="00044081">
      <w:r>
        <w:tab/>
      </w:r>
      <w:r>
        <w:tab/>
      </w:r>
      <w:r>
        <w:tab/>
      </w:r>
    </w:p>
    <w:p w:rsidR="00226080" w:rsidRPr="00226080" w:rsidRDefault="00DF6069">
      <w:pPr>
        <w:rPr>
          <w:i/>
          <w:sz w:val="24"/>
          <w:szCs w:val="24"/>
        </w:rPr>
      </w:pPr>
      <w:r>
        <w:rPr>
          <w:i/>
          <w:sz w:val="24"/>
          <w:szCs w:val="24"/>
        </w:rPr>
        <w:t xml:space="preserve">Prepared: </w:t>
      </w:r>
      <w:r w:rsidR="007F2183">
        <w:rPr>
          <w:i/>
          <w:sz w:val="24"/>
          <w:szCs w:val="24"/>
        </w:rPr>
        <w:t>January, 2012</w:t>
      </w:r>
    </w:p>
    <w:p w:rsidR="00226080" w:rsidRPr="00226080" w:rsidRDefault="00226080">
      <w:pPr>
        <w:rPr>
          <w:i/>
        </w:rPr>
        <w:sectPr w:rsidR="00226080" w:rsidRPr="00226080" w:rsidSect="00A223FA">
          <w:footerReference w:type="even" r:id="rId9"/>
          <w:footerReference w:type="default" r:id="rId10"/>
          <w:footerReference w:type="first" r:id="rId11"/>
          <w:type w:val="continuous"/>
          <w:pgSz w:w="15840" w:h="12240" w:orient="landscape"/>
          <w:pgMar w:top="1440" w:right="1080" w:bottom="1800" w:left="1080" w:header="720" w:footer="720" w:gutter="0"/>
          <w:cols w:space="720"/>
        </w:sectPr>
      </w:pPr>
    </w:p>
    <w:tbl>
      <w:tblPr>
        <w:tblW w:w="14220" w:type="dxa"/>
        <w:tblInd w:w="-162" w:type="dxa"/>
        <w:tblBorders>
          <w:top w:val="double" w:sz="18" w:space="0" w:color="auto"/>
          <w:left w:val="double" w:sz="18" w:space="0" w:color="auto"/>
          <w:bottom w:val="double" w:sz="18" w:space="0" w:color="auto"/>
          <w:right w:val="double" w:sz="18" w:space="0" w:color="auto"/>
        </w:tblBorders>
        <w:tblLayout w:type="fixed"/>
        <w:tblLook w:val="0000" w:firstRow="0" w:lastRow="0" w:firstColumn="0" w:lastColumn="0" w:noHBand="0" w:noVBand="0"/>
      </w:tblPr>
      <w:tblGrid>
        <w:gridCol w:w="270"/>
        <w:gridCol w:w="3780"/>
        <w:gridCol w:w="990"/>
        <w:gridCol w:w="990"/>
        <w:gridCol w:w="990"/>
        <w:gridCol w:w="270"/>
        <w:gridCol w:w="3960"/>
        <w:gridCol w:w="1080"/>
        <w:gridCol w:w="990"/>
        <w:gridCol w:w="900"/>
      </w:tblGrid>
      <w:tr w:rsidR="00DE3F44" w:rsidTr="00422CB5">
        <w:trPr>
          <w:trHeight w:val="315"/>
        </w:trPr>
        <w:tc>
          <w:tcPr>
            <w:tcW w:w="14220" w:type="dxa"/>
            <w:gridSpan w:val="10"/>
            <w:tcBorders>
              <w:top w:val="single" w:sz="24" w:space="0" w:color="auto"/>
              <w:left w:val="single" w:sz="24" w:space="0" w:color="auto"/>
              <w:bottom w:val="single" w:sz="24" w:space="0" w:color="auto"/>
              <w:right w:val="single" w:sz="24" w:space="0" w:color="auto"/>
            </w:tcBorders>
          </w:tcPr>
          <w:p w:rsidR="00E7549E" w:rsidRDefault="002E60C3" w:rsidP="00A16461">
            <w:pPr>
              <w:pStyle w:val="Heading1"/>
              <w:rPr>
                <w:rFonts w:ascii="Arial" w:hAnsi="Arial"/>
                <w:sz w:val="28"/>
              </w:rPr>
            </w:pPr>
            <w:bookmarkStart w:id="1" w:name="OLE_LINK1"/>
            <w:r>
              <w:rPr>
                <w:rFonts w:ascii="Arial" w:hAnsi="Arial"/>
                <w:sz w:val="28"/>
              </w:rPr>
              <w:lastRenderedPageBreak/>
              <w:t>FINANCIAL ACCOUNTING</w:t>
            </w:r>
          </w:p>
          <w:p w:rsidR="005522D6" w:rsidRDefault="005522D6" w:rsidP="00A16461">
            <w:pPr>
              <w:pStyle w:val="Heading1"/>
              <w:rPr>
                <w:rFonts w:ascii="Arial" w:hAnsi="Arial"/>
                <w:sz w:val="28"/>
              </w:rPr>
            </w:pPr>
            <w:smartTag w:uri="urn:schemas-microsoft-com:office:smarttags" w:element="place">
              <w:smartTag w:uri="urn:schemas-microsoft-com:office:smarttags" w:element="PlaceType">
                <w:r>
                  <w:rPr>
                    <w:rFonts w:ascii="Arial" w:hAnsi="Arial"/>
                    <w:sz w:val="28"/>
                  </w:rPr>
                  <w:t>University</w:t>
                </w:r>
              </w:smartTag>
              <w:r>
                <w:rPr>
                  <w:rFonts w:ascii="Arial" w:hAnsi="Arial"/>
                  <w:sz w:val="28"/>
                </w:rPr>
                <w:t xml:space="preserve"> of </w:t>
              </w:r>
              <w:smartTag w:uri="urn:schemas-microsoft-com:office:smarttags" w:element="City">
                <w:r>
                  <w:rPr>
                    <w:rFonts w:ascii="Arial" w:hAnsi="Arial"/>
                    <w:sz w:val="28"/>
                  </w:rPr>
                  <w:t>Washington</w:t>
                </w:r>
              </w:smartTag>
            </w:smartTag>
            <w:r>
              <w:rPr>
                <w:rFonts w:ascii="Arial" w:hAnsi="Arial"/>
                <w:sz w:val="28"/>
              </w:rPr>
              <w:t xml:space="preserve"> - </w:t>
            </w:r>
            <w:r w:rsidR="00DE3F44">
              <w:rPr>
                <w:rFonts w:ascii="Arial" w:hAnsi="Arial"/>
                <w:sz w:val="28"/>
              </w:rPr>
              <w:t>Operational Performance Dashboard</w:t>
            </w:r>
            <w:r w:rsidR="00E7549E">
              <w:rPr>
                <w:rFonts w:ascii="Arial" w:hAnsi="Arial"/>
                <w:sz w:val="28"/>
              </w:rPr>
              <w:t xml:space="preserve"> </w:t>
            </w:r>
          </w:p>
          <w:p w:rsidR="00DE3F44" w:rsidRDefault="00B6772E" w:rsidP="001A44CB">
            <w:pPr>
              <w:pStyle w:val="Heading1"/>
              <w:rPr>
                <w:rFonts w:ascii="Arial" w:hAnsi="Arial"/>
                <w:sz w:val="28"/>
              </w:rPr>
            </w:pPr>
            <w:r>
              <w:rPr>
                <w:rFonts w:ascii="Arial" w:hAnsi="Arial"/>
                <w:sz w:val="28"/>
              </w:rPr>
              <w:t>FY 20</w:t>
            </w:r>
            <w:r w:rsidR="00D35D4B">
              <w:rPr>
                <w:rFonts w:ascii="Arial" w:hAnsi="Arial"/>
                <w:sz w:val="28"/>
              </w:rPr>
              <w:t>1</w:t>
            </w:r>
            <w:r w:rsidR="007F2183">
              <w:rPr>
                <w:rFonts w:ascii="Arial" w:hAnsi="Arial"/>
                <w:sz w:val="28"/>
              </w:rPr>
              <w:t>2</w:t>
            </w:r>
            <w:r>
              <w:rPr>
                <w:rFonts w:ascii="Arial" w:hAnsi="Arial"/>
                <w:sz w:val="28"/>
              </w:rPr>
              <w:t xml:space="preserve"> Quarter </w:t>
            </w:r>
            <w:r w:rsidR="007F2183">
              <w:rPr>
                <w:rFonts w:ascii="Arial" w:hAnsi="Arial"/>
                <w:sz w:val="28"/>
              </w:rPr>
              <w:t>2</w:t>
            </w:r>
            <w:r>
              <w:rPr>
                <w:rFonts w:ascii="Arial" w:hAnsi="Arial"/>
                <w:sz w:val="28"/>
              </w:rPr>
              <w:t xml:space="preserve"> </w:t>
            </w:r>
            <w:r w:rsidR="0040003F">
              <w:rPr>
                <w:rFonts w:ascii="Arial" w:hAnsi="Arial"/>
                <w:sz w:val="28"/>
              </w:rPr>
              <w:t>(</w:t>
            </w:r>
            <w:r w:rsidR="007F2183">
              <w:rPr>
                <w:rFonts w:ascii="Arial" w:hAnsi="Arial"/>
                <w:sz w:val="28"/>
              </w:rPr>
              <w:t>Oct-Dec</w:t>
            </w:r>
            <w:r w:rsidR="001A44CB">
              <w:rPr>
                <w:rFonts w:ascii="Arial" w:hAnsi="Arial"/>
                <w:sz w:val="28"/>
              </w:rPr>
              <w:t xml:space="preserve"> 2011</w:t>
            </w:r>
            <w:r>
              <w:rPr>
                <w:rFonts w:ascii="Arial" w:hAnsi="Arial"/>
                <w:sz w:val="28"/>
              </w:rPr>
              <w:t xml:space="preserve">):  Prepared: </w:t>
            </w:r>
            <w:r w:rsidR="007F2183">
              <w:rPr>
                <w:rFonts w:ascii="Arial" w:hAnsi="Arial"/>
                <w:sz w:val="28"/>
              </w:rPr>
              <w:t>January</w:t>
            </w:r>
            <w:r w:rsidR="009A6BF8">
              <w:rPr>
                <w:rFonts w:ascii="Arial" w:hAnsi="Arial"/>
                <w:sz w:val="28"/>
              </w:rPr>
              <w:t xml:space="preserve">, </w:t>
            </w:r>
            <w:r w:rsidR="00BD3996">
              <w:rPr>
                <w:rFonts w:ascii="Arial" w:hAnsi="Arial"/>
                <w:sz w:val="28"/>
              </w:rPr>
              <w:t>20</w:t>
            </w:r>
            <w:r w:rsidR="00D35D4B">
              <w:rPr>
                <w:rFonts w:ascii="Arial" w:hAnsi="Arial"/>
                <w:sz w:val="28"/>
              </w:rPr>
              <w:t>1</w:t>
            </w:r>
            <w:r w:rsidR="007F2183">
              <w:rPr>
                <w:rFonts w:ascii="Arial" w:hAnsi="Arial"/>
                <w:sz w:val="28"/>
              </w:rPr>
              <w:t>2</w:t>
            </w:r>
          </w:p>
        </w:tc>
      </w:tr>
      <w:tr w:rsidR="00DE3F44"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nil"/>
              <w:left w:val="single" w:sz="18" w:space="0" w:color="auto"/>
              <w:bottom w:val="single" w:sz="12" w:space="0" w:color="auto"/>
              <w:right w:val="single" w:sz="12" w:space="0" w:color="auto"/>
            </w:tcBorders>
          </w:tcPr>
          <w:p w:rsidR="00DE3F44" w:rsidRPr="00D40450" w:rsidRDefault="00B97571" w:rsidP="00D40450">
            <w:pPr>
              <w:pStyle w:val="Heading6"/>
              <w:jc w:val="center"/>
              <w:rPr>
                <w:rFonts w:cs="Arial"/>
                <w:b/>
              </w:rPr>
            </w:pPr>
            <w:r w:rsidRPr="00D40450">
              <w:rPr>
                <w:rFonts w:cs="Arial"/>
                <w:b/>
              </w:rPr>
              <w:t>CUSTOMER</w:t>
            </w:r>
          </w:p>
        </w:tc>
        <w:tc>
          <w:tcPr>
            <w:tcW w:w="7200" w:type="dxa"/>
            <w:gridSpan w:val="5"/>
            <w:tcBorders>
              <w:top w:val="nil"/>
              <w:left w:val="single" w:sz="12" w:space="0" w:color="auto"/>
              <w:bottom w:val="single" w:sz="12" w:space="0" w:color="auto"/>
              <w:right w:val="single" w:sz="18" w:space="0" w:color="auto"/>
            </w:tcBorders>
          </w:tcPr>
          <w:p w:rsidR="00DE3F44" w:rsidRDefault="00B97571" w:rsidP="00B97571">
            <w:pPr>
              <w:pStyle w:val="Heading3"/>
              <w:jc w:val="center"/>
              <w:rPr>
                <w:rFonts w:ascii="Times New Roman" w:hAnsi="Times New Roman"/>
                <w:b w:val="0"/>
              </w:rPr>
            </w:pPr>
            <w:r>
              <w:t>FINANCIAL</w:t>
            </w:r>
          </w:p>
        </w:tc>
      </w:tr>
      <w:tr w:rsidR="00DE3F44" w:rsidRPr="0072590A"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2"/>
        </w:trPr>
        <w:tc>
          <w:tcPr>
            <w:tcW w:w="270" w:type="dxa"/>
            <w:tcBorders>
              <w:top w:val="single" w:sz="12" w:space="0" w:color="auto"/>
              <w:left w:val="single" w:sz="18" w:space="0" w:color="auto"/>
              <w:bottom w:val="single" w:sz="4" w:space="0" w:color="auto"/>
              <w:right w:val="nil"/>
            </w:tcBorders>
          </w:tcPr>
          <w:p w:rsidR="003E4935" w:rsidRDefault="003E4935" w:rsidP="003E4935">
            <w:pPr>
              <w:jc w:val="center"/>
              <w:rPr>
                <w:i/>
                <w:sz w:val="18"/>
              </w:rPr>
            </w:pPr>
          </w:p>
          <w:p w:rsidR="00DE3F44" w:rsidRDefault="00DE3F44" w:rsidP="003E4935">
            <w:pPr>
              <w:jc w:val="center"/>
              <w:rPr>
                <w:b/>
                <w:i/>
                <w:sz w:val="18"/>
              </w:rPr>
            </w:pPr>
          </w:p>
        </w:tc>
        <w:tc>
          <w:tcPr>
            <w:tcW w:w="3780" w:type="dxa"/>
            <w:tcBorders>
              <w:top w:val="single" w:sz="12" w:space="0" w:color="auto"/>
              <w:left w:val="single" w:sz="4" w:space="0" w:color="auto"/>
            </w:tcBorders>
          </w:tcPr>
          <w:p w:rsidR="00DE3F44" w:rsidRPr="0072590A" w:rsidRDefault="00DE3F44" w:rsidP="00A16461">
            <w:pPr>
              <w:jc w:val="center"/>
              <w:rPr>
                <w:rFonts w:ascii="Arial" w:hAnsi="Arial" w:cs="Arial"/>
                <w:b/>
                <w:sz w:val="18"/>
              </w:rPr>
            </w:pPr>
          </w:p>
          <w:p w:rsidR="000E5576" w:rsidRPr="0072590A" w:rsidRDefault="00DE3F44" w:rsidP="000E5576">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tcBorders>
          </w:tcPr>
          <w:p w:rsidR="003E4935" w:rsidRPr="0072590A" w:rsidRDefault="003E4935" w:rsidP="003E4935">
            <w:pPr>
              <w:pStyle w:val="Header"/>
              <w:tabs>
                <w:tab w:val="clear" w:pos="4320"/>
                <w:tab w:val="clear" w:pos="8640"/>
              </w:tabs>
              <w:rPr>
                <w:rFonts w:ascii="Arial" w:hAnsi="Arial" w:cs="Arial"/>
                <w:sz w:val="18"/>
              </w:rPr>
            </w:pPr>
          </w:p>
          <w:p w:rsidR="003E4935" w:rsidRPr="0072590A" w:rsidRDefault="003E4935" w:rsidP="003E4935">
            <w:pPr>
              <w:pStyle w:val="Header"/>
              <w:tabs>
                <w:tab w:val="clear" w:pos="4320"/>
                <w:tab w:val="clear" w:pos="8640"/>
              </w:tabs>
              <w:rPr>
                <w:rFonts w:ascii="Arial" w:hAnsi="Arial" w:cs="Arial"/>
                <w:sz w:val="18"/>
              </w:rPr>
            </w:pPr>
          </w:p>
          <w:p w:rsidR="00DE3F44" w:rsidRPr="0072590A" w:rsidRDefault="00DE3F44" w:rsidP="003E4935">
            <w:pPr>
              <w:pStyle w:val="Header"/>
              <w:tabs>
                <w:tab w:val="clear" w:pos="4320"/>
                <w:tab w:val="clear" w:pos="8640"/>
              </w:tabs>
              <w:rPr>
                <w:rFonts w:ascii="Arial" w:hAnsi="Arial" w:cs="Arial"/>
                <w:sz w:val="18"/>
              </w:rPr>
            </w:pPr>
          </w:p>
        </w:tc>
        <w:tc>
          <w:tcPr>
            <w:tcW w:w="3960" w:type="dxa"/>
            <w:tcBorders>
              <w:top w:val="single" w:sz="12" w:space="0" w:color="auto"/>
              <w:left w:val="nil"/>
            </w:tcBorders>
          </w:tcPr>
          <w:p w:rsidR="00DE3F44" w:rsidRPr="0072590A" w:rsidRDefault="00DE3F44" w:rsidP="00A16461">
            <w:pPr>
              <w:jc w:val="center"/>
              <w:rPr>
                <w:rFonts w:ascii="Arial" w:hAnsi="Arial" w:cs="Arial"/>
                <w:b/>
                <w:sz w:val="18"/>
              </w:rPr>
            </w:pPr>
          </w:p>
          <w:p w:rsidR="00DE3F44" w:rsidRPr="0072590A" w:rsidRDefault="00DE3F44" w:rsidP="00A16461">
            <w:pPr>
              <w:pStyle w:val="Heading5"/>
              <w:rPr>
                <w:rFonts w:ascii="Arial" w:hAnsi="Arial" w:cs="Arial"/>
                <w:b/>
                <w:i w:val="0"/>
                <w:sz w:val="18"/>
              </w:rPr>
            </w:pPr>
            <w:r w:rsidRPr="0072590A">
              <w:rPr>
                <w:rFonts w:ascii="Arial" w:hAnsi="Arial" w:cs="Arial"/>
                <w:b/>
                <w:i w:val="0"/>
                <w:sz w:val="18"/>
              </w:rPr>
              <w:t>Measure</w:t>
            </w:r>
          </w:p>
        </w:tc>
        <w:tc>
          <w:tcPr>
            <w:tcW w:w="108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r>
      <w:tr w:rsidR="006D2651" w:rsidTr="00FB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vMerge w:val="restart"/>
            <w:tcBorders>
              <w:top w:val="single" w:sz="4" w:space="0" w:color="auto"/>
              <w:left w:val="single" w:sz="18" w:space="0" w:color="auto"/>
              <w:right w:val="single" w:sz="4" w:space="0" w:color="auto"/>
            </w:tcBorders>
            <w:textDirection w:val="btLr"/>
          </w:tcPr>
          <w:p w:rsidR="006D2651" w:rsidRDefault="006D2651" w:rsidP="00C4653A">
            <w:pPr>
              <w:pStyle w:val="Heading8"/>
              <w:jc w:val="center"/>
            </w:pPr>
          </w:p>
        </w:tc>
        <w:tc>
          <w:tcPr>
            <w:tcW w:w="3780" w:type="dxa"/>
            <w:tcBorders>
              <w:left w:val="single" w:sz="4" w:space="0" w:color="auto"/>
            </w:tcBorders>
          </w:tcPr>
          <w:p w:rsidR="006D2651" w:rsidRPr="00293949" w:rsidRDefault="006D2651" w:rsidP="00D40450">
            <w:pPr>
              <w:pStyle w:val="ListParagraph"/>
              <w:numPr>
                <w:ilvl w:val="0"/>
                <w:numId w:val="5"/>
              </w:numPr>
              <w:spacing w:before="120"/>
              <w:rPr>
                <w:rFonts w:ascii="Arial" w:hAnsi="Arial" w:cs="Arial"/>
                <w:sz w:val="16"/>
              </w:rPr>
            </w:pPr>
            <w:r>
              <w:rPr>
                <w:rFonts w:ascii="Arial" w:hAnsi="Arial" w:cs="Arial"/>
                <w:sz w:val="16"/>
              </w:rPr>
              <w:t>Annual Report completion – processes completed earli</w:t>
            </w:r>
            <w:r w:rsidR="009567C1">
              <w:rPr>
                <w:rFonts w:ascii="Arial" w:hAnsi="Arial" w:cs="Arial"/>
                <w:sz w:val="16"/>
              </w:rPr>
              <w:t>er (later) than 2006 baseline</w:t>
            </w:r>
            <w:r w:rsidRPr="00293949">
              <w:rPr>
                <w:rFonts w:ascii="Arial" w:hAnsi="Arial" w:cs="Arial"/>
                <w:sz w:val="16"/>
              </w:rPr>
              <w:t xml:space="preserve"> </w:t>
            </w:r>
          </w:p>
        </w:tc>
        <w:tc>
          <w:tcPr>
            <w:tcW w:w="990" w:type="dxa"/>
          </w:tcPr>
          <w:p w:rsidR="006D2651" w:rsidRPr="0072590A" w:rsidRDefault="006D2651" w:rsidP="00DA0831">
            <w:pPr>
              <w:pStyle w:val="Style8ptCenteredBefore2pt"/>
              <w:rPr>
                <w:rFonts w:ascii="Arial" w:hAnsi="Arial" w:cs="Arial"/>
              </w:rPr>
            </w:pPr>
          </w:p>
        </w:tc>
        <w:tc>
          <w:tcPr>
            <w:tcW w:w="990" w:type="dxa"/>
            <w:tcBorders>
              <w:right w:val="single" w:sz="12" w:space="0" w:color="auto"/>
            </w:tcBorders>
          </w:tcPr>
          <w:p w:rsidR="006D2651" w:rsidRPr="0072590A" w:rsidRDefault="006D2651" w:rsidP="00E5356D">
            <w:pPr>
              <w:spacing w:before="120"/>
              <w:jc w:val="center"/>
              <w:rPr>
                <w:rFonts w:ascii="Arial" w:hAnsi="Arial" w:cs="Arial"/>
                <w:sz w:val="16"/>
              </w:rPr>
            </w:pPr>
          </w:p>
        </w:tc>
        <w:tc>
          <w:tcPr>
            <w:tcW w:w="990" w:type="dxa"/>
            <w:tcBorders>
              <w:left w:val="single" w:sz="12" w:space="0" w:color="auto"/>
              <w:bottom w:val="single" w:sz="4" w:space="0" w:color="auto"/>
              <w:right w:val="single" w:sz="12" w:space="0" w:color="auto"/>
            </w:tcBorders>
            <w:shd w:val="clear" w:color="auto" w:fill="auto"/>
          </w:tcPr>
          <w:p w:rsidR="006D2651" w:rsidRPr="0072590A" w:rsidRDefault="006D2651" w:rsidP="006C460F">
            <w:pPr>
              <w:rPr>
                <w:rFonts w:ascii="Arial" w:hAnsi="Arial" w:cs="Arial"/>
                <w:color w:val="00B050"/>
                <w:sz w:val="16"/>
              </w:rPr>
            </w:pPr>
          </w:p>
        </w:tc>
        <w:tc>
          <w:tcPr>
            <w:tcW w:w="270" w:type="dxa"/>
            <w:vMerge w:val="restart"/>
            <w:tcBorders>
              <w:left w:val="single" w:sz="12" w:space="0" w:color="auto"/>
            </w:tcBorders>
            <w:textDirection w:val="btLr"/>
          </w:tcPr>
          <w:p w:rsidR="006D2651" w:rsidRPr="0072590A" w:rsidRDefault="006D2651" w:rsidP="00D964B1">
            <w:pPr>
              <w:jc w:val="center"/>
              <w:rPr>
                <w:rFonts w:ascii="Arial" w:hAnsi="Arial" w:cs="Arial"/>
                <w:i/>
              </w:rPr>
            </w:pPr>
          </w:p>
        </w:tc>
        <w:tc>
          <w:tcPr>
            <w:tcW w:w="3960" w:type="dxa"/>
            <w:tcBorders>
              <w:left w:val="nil"/>
            </w:tcBorders>
          </w:tcPr>
          <w:p w:rsidR="006D2651" w:rsidRPr="0072590A" w:rsidRDefault="006D2651" w:rsidP="00050C4F">
            <w:pPr>
              <w:pStyle w:val="ListParagraph"/>
              <w:numPr>
                <w:ilvl w:val="0"/>
                <w:numId w:val="13"/>
              </w:numPr>
              <w:spacing w:before="120"/>
              <w:rPr>
                <w:rFonts w:ascii="Arial" w:hAnsi="Arial" w:cs="Arial"/>
                <w:sz w:val="16"/>
              </w:rPr>
            </w:pPr>
            <w:r>
              <w:rPr>
                <w:rFonts w:ascii="Arial" w:hAnsi="Arial" w:cs="Arial"/>
                <w:sz w:val="16"/>
              </w:rPr>
              <w:t>D</w:t>
            </w:r>
            <w:r w:rsidRPr="0072590A">
              <w:rPr>
                <w:rFonts w:ascii="Arial" w:hAnsi="Arial" w:cs="Arial"/>
                <w:sz w:val="16"/>
              </w:rPr>
              <w:t xml:space="preserve">ollar </w:t>
            </w:r>
            <w:r>
              <w:rPr>
                <w:rFonts w:ascii="Arial" w:hAnsi="Arial" w:cs="Arial"/>
                <w:sz w:val="16"/>
              </w:rPr>
              <w:t>a</w:t>
            </w:r>
            <w:r w:rsidRPr="0072590A">
              <w:rPr>
                <w:rFonts w:ascii="Arial" w:hAnsi="Arial" w:cs="Arial"/>
                <w:sz w:val="16"/>
              </w:rPr>
              <w:t xml:space="preserve">mount of </w:t>
            </w:r>
            <w:r w:rsidR="009954D6">
              <w:rPr>
                <w:rFonts w:ascii="Arial" w:hAnsi="Arial" w:cs="Arial"/>
                <w:sz w:val="16"/>
              </w:rPr>
              <w:t xml:space="preserve">miscellaneous </w:t>
            </w:r>
            <w:r>
              <w:rPr>
                <w:rFonts w:ascii="Arial" w:hAnsi="Arial" w:cs="Arial"/>
                <w:sz w:val="16"/>
              </w:rPr>
              <w:t>a</w:t>
            </w:r>
            <w:r w:rsidRPr="0072590A">
              <w:rPr>
                <w:rFonts w:ascii="Arial" w:hAnsi="Arial" w:cs="Arial"/>
                <w:sz w:val="16"/>
              </w:rPr>
              <w:t xml:space="preserve">gency </w:t>
            </w:r>
            <w:r>
              <w:rPr>
                <w:rFonts w:ascii="Arial" w:hAnsi="Arial" w:cs="Arial"/>
                <w:sz w:val="16"/>
              </w:rPr>
              <w:t>a</w:t>
            </w:r>
            <w:r w:rsidRPr="0072590A">
              <w:rPr>
                <w:rFonts w:ascii="Arial" w:hAnsi="Arial" w:cs="Arial"/>
                <w:sz w:val="16"/>
              </w:rPr>
              <w:t xml:space="preserve">ccounts </w:t>
            </w:r>
            <w:r w:rsidR="00050C4F">
              <w:rPr>
                <w:rFonts w:ascii="Arial" w:hAnsi="Arial" w:cs="Arial"/>
                <w:sz w:val="16"/>
              </w:rPr>
              <w:t>in deficit</w:t>
            </w:r>
            <w:r w:rsidRPr="0072590A">
              <w:rPr>
                <w:rFonts w:ascii="Arial" w:hAnsi="Arial" w:cs="Arial"/>
                <w:sz w:val="16"/>
              </w:rPr>
              <w:t xml:space="preserve"> </w:t>
            </w:r>
          </w:p>
        </w:tc>
        <w:tc>
          <w:tcPr>
            <w:tcW w:w="1080" w:type="dxa"/>
            <w:shd w:val="clear" w:color="auto" w:fill="auto"/>
          </w:tcPr>
          <w:p w:rsidR="006D2651" w:rsidRPr="0072590A" w:rsidRDefault="006D2651" w:rsidP="009954D6">
            <w:pPr>
              <w:spacing w:before="120"/>
              <w:jc w:val="center"/>
              <w:rPr>
                <w:rFonts w:ascii="Arial" w:hAnsi="Arial" w:cs="Arial"/>
                <w:sz w:val="16"/>
              </w:rPr>
            </w:pPr>
            <w:r>
              <w:rPr>
                <w:rFonts w:ascii="Arial" w:hAnsi="Arial" w:cs="Arial"/>
                <w:sz w:val="16"/>
              </w:rPr>
              <w:t>$</w:t>
            </w:r>
            <w:r w:rsidR="00FB7041">
              <w:rPr>
                <w:rFonts w:ascii="Arial" w:hAnsi="Arial" w:cs="Arial"/>
                <w:sz w:val="16"/>
              </w:rPr>
              <w:t>57</w:t>
            </w:r>
            <w:r w:rsidR="009954D6">
              <w:rPr>
                <w:rFonts w:ascii="Arial" w:hAnsi="Arial" w:cs="Arial"/>
                <w:sz w:val="16"/>
              </w:rPr>
              <w:t>K</w:t>
            </w:r>
          </w:p>
        </w:tc>
        <w:tc>
          <w:tcPr>
            <w:tcW w:w="990" w:type="dxa"/>
            <w:tcBorders>
              <w:right w:val="single" w:sz="12" w:space="0" w:color="auto"/>
            </w:tcBorders>
            <w:shd w:val="clear" w:color="auto" w:fill="auto"/>
          </w:tcPr>
          <w:p w:rsidR="006D2651" w:rsidRPr="0072590A" w:rsidRDefault="006D2651" w:rsidP="009954D6">
            <w:pPr>
              <w:spacing w:before="120"/>
              <w:jc w:val="center"/>
              <w:rPr>
                <w:rFonts w:ascii="Arial" w:hAnsi="Arial" w:cs="Arial"/>
                <w:sz w:val="16"/>
              </w:rPr>
            </w:pPr>
            <w:r>
              <w:rPr>
                <w:rFonts w:ascii="Arial" w:hAnsi="Arial" w:cs="Arial"/>
                <w:sz w:val="16"/>
              </w:rPr>
              <w:t>$</w:t>
            </w:r>
            <w:r w:rsidR="009954D6">
              <w:rPr>
                <w:rFonts w:ascii="Arial" w:hAnsi="Arial" w:cs="Arial"/>
                <w:sz w:val="16"/>
              </w:rPr>
              <w:t>100K</w:t>
            </w:r>
          </w:p>
        </w:tc>
        <w:tc>
          <w:tcPr>
            <w:tcW w:w="900" w:type="dxa"/>
            <w:tcBorders>
              <w:left w:val="single" w:sz="12" w:space="0" w:color="auto"/>
              <w:bottom w:val="single" w:sz="4" w:space="0" w:color="auto"/>
              <w:right w:val="single" w:sz="18" w:space="0" w:color="auto"/>
            </w:tcBorders>
            <w:shd w:val="clear" w:color="auto" w:fill="00B050"/>
          </w:tcPr>
          <w:p w:rsidR="006D2651" w:rsidRPr="001F406F" w:rsidRDefault="004D4447" w:rsidP="0073740D">
            <w:pPr>
              <w:spacing w:beforeLines="60" w:before="144"/>
              <w:jc w:val="center"/>
              <w:rPr>
                <w:rFonts w:ascii="Arial" w:hAnsi="Arial" w:cs="Arial"/>
                <w:b/>
                <w:sz w:val="16"/>
              </w:rPr>
            </w:pPr>
            <w:r>
              <w:rPr>
                <w:rFonts w:ascii="Arial" w:hAnsi="Arial" w:cs="Arial"/>
                <w:sz w:val="16"/>
              </w:rPr>
              <w:t>No Gap</w:t>
            </w:r>
          </w:p>
        </w:tc>
      </w:tr>
      <w:tr w:rsidR="006D2651" w:rsidTr="00FB7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right w:val="single" w:sz="4" w:space="0" w:color="auto"/>
            </w:tcBorders>
            <w:textDirection w:val="btLr"/>
          </w:tcPr>
          <w:p w:rsidR="006D2651" w:rsidRDefault="006D2651" w:rsidP="00C4653A">
            <w:pPr>
              <w:ind w:right="58"/>
              <w:rPr>
                <w:rFonts w:ascii="Arial" w:hAnsi="Arial"/>
                <w:i/>
                <w:sz w:val="16"/>
              </w:rPr>
            </w:pPr>
          </w:p>
        </w:tc>
        <w:tc>
          <w:tcPr>
            <w:tcW w:w="3780" w:type="dxa"/>
            <w:tcBorders>
              <w:left w:val="single" w:sz="4" w:space="0" w:color="auto"/>
            </w:tcBorders>
          </w:tcPr>
          <w:p w:rsidR="006D2651" w:rsidRPr="00293949" w:rsidRDefault="006D2651" w:rsidP="00D40450">
            <w:pPr>
              <w:pStyle w:val="ListParagraph"/>
              <w:numPr>
                <w:ilvl w:val="0"/>
                <w:numId w:val="3"/>
              </w:numPr>
              <w:spacing w:before="120"/>
              <w:rPr>
                <w:rFonts w:ascii="Arial" w:hAnsi="Arial" w:cs="Arial"/>
                <w:sz w:val="16"/>
              </w:rPr>
            </w:pPr>
            <w:r>
              <w:rPr>
                <w:rFonts w:ascii="Arial" w:hAnsi="Arial" w:cs="Arial"/>
                <w:sz w:val="16"/>
              </w:rPr>
              <w:t>Closing university records</w:t>
            </w:r>
          </w:p>
        </w:tc>
        <w:tc>
          <w:tcPr>
            <w:tcW w:w="990" w:type="dxa"/>
          </w:tcPr>
          <w:p w:rsidR="006D2651" w:rsidRPr="0072590A" w:rsidRDefault="009567C1" w:rsidP="007D47F9">
            <w:pPr>
              <w:spacing w:before="120"/>
              <w:jc w:val="center"/>
              <w:rPr>
                <w:rFonts w:ascii="Arial" w:hAnsi="Arial" w:cs="Arial"/>
                <w:sz w:val="16"/>
              </w:rPr>
            </w:pPr>
            <w:r>
              <w:rPr>
                <w:rFonts w:ascii="Arial" w:hAnsi="Arial" w:cs="Arial"/>
                <w:sz w:val="16"/>
              </w:rPr>
              <w:t>15</w:t>
            </w:r>
          </w:p>
        </w:tc>
        <w:tc>
          <w:tcPr>
            <w:tcW w:w="990" w:type="dxa"/>
            <w:tcBorders>
              <w:right w:val="single" w:sz="12" w:space="0" w:color="auto"/>
            </w:tcBorders>
          </w:tcPr>
          <w:p w:rsidR="006D2651" w:rsidRPr="0072590A" w:rsidRDefault="006D2651" w:rsidP="00F22696">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6D2651" w:rsidRPr="0072590A" w:rsidRDefault="003954A4" w:rsidP="0073740D">
            <w:pPr>
              <w:spacing w:beforeLines="60" w:before="144"/>
              <w:jc w:val="center"/>
              <w:rPr>
                <w:rFonts w:ascii="Arial" w:hAnsi="Arial" w:cs="Arial"/>
                <w:sz w:val="16"/>
              </w:rPr>
            </w:pPr>
            <w:r w:rsidRPr="00FB7041">
              <w:rPr>
                <w:rFonts w:ascii="Arial" w:hAnsi="Arial" w:cs="Arial"/>
                <w:sz w:val="16"/>
              </w:rPr>
              <w:t>No Gap</w:t>
            </w:r>
          </w:p>
        </w:tc>
        <w:tc>
          <w:tcPr>
            <w:tcW w:w="270" w:type="dxa"/>
            <w:vMerge/>
            <w:tcBorders>
              <w:left w:val="single" w:sz="12" w:space="0" w:color="auto"/>
            </w:tcBorders>
            <w:textDirection w:val="btLr"/>
          </w:tcPr>
          <w:p w:rsidR="006D2651" w:rsidRPr="0072590A" w:rsidRDefault="006D2651" w:rsidP="00A16461">
            <w:pPr>
              <w:pStyle w:val="Header"/>
              <w:tabs>
                <w:tab w:val="clear" w:pos="4320"/>
                <w:tab w:val="clear" w:pos="8640"/>
              </w:tabs>
              <w:spacing w:before="60"/>
              <w:rPr>
                <w:rFonts w:ascii="Arial" w:hAnsi="Arial" w:cs="Arial"/>
                <w:b w:val="0"/>
                <w:i/>
                <w:sz w:val="16"/>
              </w:rPr>
            </w:pPr>
          </w:p>
        </w:tc>
        <w:tc>
          <w:tcPr>
            <w:tcW w:w="3960" w:type="dxa"/>
            <w:tcBorders>
              <w:left w:val="nil"/>
            </w:tcBorders>
          </w:tcPr>
          <w:p w:rsidR="006D2651" w:rsidRDefault="006D2651" w:rsidP="0083623F">
            <w:pPr>
              <w:pStyle w:val="ListParagraph"/>
              <w:numPr>
                <w:ilvl w:val="0"/>
                <w:numId w:val="10"/>
              </w:numPr>
              <w:spacing w:before="120"/>
              <w:rPr>
                <w:rFonts w:ascii="Arial" w:hAnsi="Arial" w:cs="Arial"/>
                <w:sz w:val="16"/>
              </w:rPr>
            </w:pPr>
            <w:r w:rsidRPr="00D40450">
              <w:rPr>
                <w:rFonts w:ascii="Arial" w:hAnsi="Arial" w:cs="Arial"/>
                <w:sz w:val="16"/>
              </w:rPr>
              <w:t>Dollar amount of overdue field advances</w:t>
            </w:r>
          </w:p>
          <w:p w:rsidR="006D2651" w:rsidRPr="00D40450" w:rsidRDefault="006D2651" w:rsidP="0083623F">
            <w:pPr>
              <w:pStyle w:val="ListParagraph"/>
              <w:spacing w:before="120"/>
              <w:ind w:left="360"/>
              <w:rPr>
                <w:rFonts w:ascii="Arial" w:hAnsi="Arial" w:cs="Arial"/>
                <w:sz w:val="16"/>
              </w:rPr>
            </w:pPr>
          </w:p>
        </w:tc>
        <w:tc>
          <w:tcPr>
            <w:tcW w:w="1080" w:type="dxa"/>
          </w:tcPr>
          <w:p w:rsidR="006D2651" w:rsidRPr="0072590A" w:rsidRDefault="006D2651" w:rsidP="009954D6">
            <w:pPr>
              <w:spacing w:before="120"/>
              <w:jc w:val="center"/>
              <w:rPr>
                <w:rFonts w:ascii="Arial" w:hAnsi="Arial" w:cs="Arial"/>
                <w:sz w:val="16"/>
              </w:rPr>
            </w:pPr>
            <w:r w:rsidRPr="00CA7342">
              <w:rPr>
                <w:rFonts w:ascii="Arial" w:hAnsi="Arial" w:cs="Arial"/>
                <w:sz w:val="16"/>
              </w:rPr>
              <w:t>$</w:t>
            </w:r>
            <w:r w:rsidR="00CA7342" w:rsidRPr="00CA7342">
              <w:rPr>
                <w:rFonts w:ascii="Arial" w:hAnsi="Arial" w:cs="Arial"/>
                <w:sz w:val="16"/>
              </w:rPr>
              <w:t>350</w:t>
            </w:r>
            <w:r w:rsidR="00A56ADA" w:rsidRPr="00CA7342">
              <w:rPr>
                <w:rFonts w:ascii="Arial" w:hAnsi="Arial" w:cs="Arial"/>
                <w:sz w:val="16"/>
              </w:rPr>
              <w:t>K</w:t>
            </w:r>
          </w:p>
        </w:tc>
        <w:tc>
          <w:tcPr>
            <w:tcW w:w="990" w:type="dxa"/>
            <w:tcBorders>
              <w:right w:val="single" w:sz="12" w:space="0" w:color="auto"/>
            </w:tcBorders>
            <w:shd w:val="clear" w:color="auto" w:fill="auto"/>
          </w:tcPr>
          <w:p w:rsidR="006D2651" w:rsidRPr="0072590A" w:rsidRDefault="00B07187" w:rsidP="0083623F">
            <w:pPr>
              <w:spacing w:before="120"/>
              <w:jc w:val="center"/>
              <w:rPr>
                <w:rFonts w:ascii="Arial" w:hAnsi="Arial" w:cs="Arial"/>
                <w:sz w:val="16"/>
              </w:rPr>
            </w:pPr>
            <w:r>
              <w:rPr>
                <w:rFonts w:ascii="Arial" w:hAnsi="Arial" w:cs="Arial"/>
                <w:sz w:val="16"/>
              </w:rPr>
              <w:t>In Process</w:t>
            </w:r>
          </w:p>
        </w:tc>
        <w:tc>
          <w:tcPr>
            <w:tcW w:w="900" w:type="dxa"/>
            <w:tcBorders>
              <w:left w:val="single" w:sz="12" w:space="0" w:color="auto"/>
              <w:bottom w:val="single" w:sz="4" w:space="0" w:color="auto"/>
              <w:right w:val="single" w:sz="18" w:space="0" w:color="auto"/>
            </w:tcBorders>
            <w:shd w:val="clear" w:color="auto" w:fill="auto"/>
          </w:tcPr>
          <w:p w:rsidR="006D2651" w:rsidRPr="001F406F" w:rsidRDefault="006D2651" w:rsidP="0083623F">
            <w:pPr>
              <w:spacing w:before="120"/>
              <w:jc w:val="center"/>
              <w:rPr>
                <w:rFonts w:ascii="Arial" w:hAnsi="Arial" w:cs="Arial"/>
                <w:b/>
                <w:sz w:val="16"/>
              </w:rPr>
            </w:pPr>
          </w:p>
        </w:tc>
      </w:tr>
      <w:tr w:rsidR="0085780C" w:rsidTr="005B2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bottom w:val="single" w:sz="2" w:space="0" w:color="auto"/>
              <w:right w:val="single" w:sz="4" w:space="0" w:color="auto"/>
            </w:tcBorders>
            <w:textDirection w:val="btLr"/>
          </w:tcPr>
          <w:p w:rsidR="0085780C" w:rsidRPr="00432A94" w:rsidRDefault="0085780C" w:rsidP="00C4653A">
            <w:pPr>
              <w:ind w:left="113" w:right="58"/>
              <w:rPr>
                <w:rFonts w:ascii="Arial" w:hAnsi="Arial" w:cs="Arial"/>
                <w:i/>
                <w:sz w:val="16"/>
                <w:szCs w:val="16"/>
              </w:rPr>
            </w:pPr>
          </w:p>
        </w:tc>
        <w:tc>
          <w:tcPr>
            <w:tcW w:w="3780" w:type="dxa"/>
            <w:tcBorders>
              <w:left w:val="single" w:sz="4" w:space="0" w:color="auto"/>
            </w:tcBorders>
          </w:tcPr>
          <w:p w:rsidR="0085780C" w:rsidRPr="00293949" w:rsidRDefault="0085780C" w:rsidP="00D40450">
            <w:pPr>
              <w:pStyle w:val="ListParagraph"/>
              <w:numPr>
                <w:ilvl w:val="0"/>
                <w:numId w:val="3"/>
              </w:numPr>
              <w:spacing w:before="120"/>
              <w:rPr>
                <w:rFonts w:ascii="Arial" w:hAnsi="Arial" w:cs="Arial"/>
                <w:sz w:val="16"/>
              </w:rPr>
            </w:pPr>
            <w:r>
              <w:rPr>
                <w:rFonts w:ascii="Arial" w:hAnsi="Arial" w:cs="Arial"/>
                <w:sz w:val="16"/>
              </w:rPr>
              <w:t>Recasting records to GASB format</w:t>
            </w:r>
          </w:p>
        </w:tc>
        <w:tc>
          <w:tcPr>
            <w:tcW w:w="990" w:type="dxa"/>
          </w:tcPr>
          <w:p w:rsidR="0085780C" w:rsidRPr="0072590A" w:rsidRDefault="009567C1" w:rsidP="007D47F9">
            <w:pPr>
              <w:spacing w:before="120"/>
              <w:jc w:val="center"/>
              <w:rPr>
                <w:rFonts w:ascii="Arial" w:hAnsi="Arial" w:cs="Arial"/>
                <w:sz w:val="16"/>
              </w:rPr>
            </w:pPr>
            <w:r>
              <w:rPr>
                <w:rFonts w:ascii="Arial" w:hAnsi="Arial" w:cs="Arial"/>
                <w:sz w:val="16"/>
              </w:rPr>
              <w:t>8</w:t>
            </w:r>
          </w:p>
        </w:tc>
        <w:tc>
          <w:tcPr>
            <w:tcW w:w="990" w:type="dxa"/>
            <w:tcBorders>
              <w:bottom w:val="nil"/>
              <w:right w:val="single" w:sz="12" w:space="0" w:color="auto"/>
            </w:tcBorders>
          </w:tcPr>
          <w:p w:rsidR="0085780C" w:rsidRPr="0072590A" w:rsidRDefault="0085780C" w:rsidP="00E5356D">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5B2D86" w:rsidRDefault="005B2D86" w:rsidP="0073740D">
            <w:pPr>
              <w:spacing w:beforeLines="60" w:before="144"/>
              <w:jc w:val="center"/>
              <w:rPr>
                <w:rFonts w:ascii="Arial" w:hAnsi="Arial" w:cs="Arial"/>
                <w:sz w:val="16"/>
              </w:rPr>
            </w:pPr>
            <w:r w:rsidRPr="00FB7041">
              <w:rPr>
                <w:rFonts w:ascii="Arial" w:hAnsi="Arial" w:cs="Arial"/>
                <w:sz w:val="16"/>
              </w:rPr>
              <w:t>No Gap</w:t>
            </w:r>
          </w:p>
        </w:tc>
        <w:tc>
          <w:tcPr>
            <w:tcW w:w="270" w:type="dxa"/>
            <w:vMerge/>
            <w:tcBorders>
              <w:left w:val="single" w:sz="12" w:space="0" w:color="auto"/>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tcBorders>
          </w:tcPr>
          <w:p w:rsidR="0085780C" w:rsidRDefault="0085780C" w:rsidP="00B94C3B">
            <w:pPr>
              <w:spacing w:before="120"/>
              <w:rPr>
                <w:rFonts w:ascii="Arial" w:hAnsi="Arial" w:cs="Arial"/>
                <w:sz w:val="16"/>
              </w:rPr>
            </w:pPr>
          </w:p>
          <w:p w:rsidR="00B94C3B" w:rsidRPr="00B94C3B" w:rsidRDefault="00B94C3B" w:rsidP="00B94C3B">
            <w:pPr>
              <w:spacing w:before="120"/>
              <w:rPr>
                <w:rFonts w:ascii="Arial" w:hAnsi="Arial" w:cs="Arial"/>
                <w:sz w:val="16"/>
              </w:rPr>
            </w:pPr>
          </w:p>
        </w:tc>
        <w:tc>
          <w:tcPr>
            <w:tcW w:w="1080" w:type="dxa"/>
          </w:tcPr>
          <w:p w:rsidR="0085780C" w:rsidRPr="00FB7041" w:rsidRDefault="0085780C" w:rsidP="009954D6">
            <w:pPr>
              <w:spacing w:before="120"/>
              <w:jc w:val="center"/>
              <w:rPr>
                <w:rFonts w:ascii="Arial" w:hAnsi="Arial" w:cs="Arial"/>
                <w:sz w:val="16"/>
                <w:highlight w:val="yellow"/>
              </w:rPr>
            </w:pPr>
          </w:p>
        </w:tc>
        <w:tc>
          <w:tcPr>
            <w:tcW w:w="990" w:type="dxa"/>
            <w:tcBorders>
              <w:right w:val="single" w:sz="12" w:space="0" w:color="auto"/>
            </w:tcBorders>
            <w:shd w:val="clear" w:color="auto" w:fill="auto"/>
          </w:tcPr>
          <w:p w:rsidR="0085780C" w:rsidRPr="00FB7041" w:rsidRDefault="0085780C" w:rsidP="0085780C">
            <w:pPr>
              <w:spacing w:before="120"/>
              <w:jc w:val="center"/>
              <w:rPr>
                <w:rFonts w:ascii="Arial" w:hAnsi="Arial" w:cs="Arial"/>
                <w:sz w:val="16"/>
                <w:highlight w:val="yellow"/>
              </w:rPr>
            </w:pPr>
          </w:p>
        </w:tc>
        <w:tc>
          <w:tcPr>
            <w:tcW w:w="900" w:type="dxa"/>
            <w:tcBorders>
              <w:left w:val="single" w:sz="12" w:space="0" w:color="auto"/>
              <w:bottom w:val="single" w:sz="4" w:space="0" w:color="auto"/>
              <w:right w:val="single" w:sz="18" w:space="0" w:color="auto"/>
            </w:tcBorders>
            <w:shd w:val="clear" w:color="auto" w:fill="auto"/>
          </w:tcPr>
          <w:p w:rsidR="0085780C" w:rsidRPr="001F406F" w:rsidRDefault="0085780C" w:rsidP="0085780C">
            <w:pPr>
              <w:spacing w:before="120"/>
              <w:jc w:val="center"/>
              <w:rPr>
                <w:rFonts w:ascii="Arial" w:hAnsi="Arial" w:cs="Arial"/>
                <w:b/>
                <w:sz w:val="16"/>
              </w:rPr>
            </w:pPr>
          </w:p>
        </w:tc>
      </w:tr>
      <w:tr w:rsidR="0085780C" w:rsidTr="005B2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top w:val="single" w:sz="2" w:space="0" w:color="auto"/>
              <w:left w:val="single" w:sz="18" w:space="0" w:color="auto"/>
              <w:right w:val="single" w:sz="2" w:space="0" w:color="auto"/>
            </w:tcBorders>
            <w:textDirection w:val="btLr"/>
          </w:tcPr>
          <w:p w:rsidR="0085780C" w:rsidRPr="00293949" w:rsidRDefault="0085780C" w:rsidP="00A16461">
            <w:pPr>
              <w:ind w:left="113" w:right="58"/>
              <w:jc w:val="center"/>
              <w:rPr>
                <w:rFonts w:ascii="Arial" w:hAnsi="Arial" w:cs="Arial"/>
                <w:i/>
                <w:sz w:val="16"/>
                <w:szCs w:val="16"/>
              </w:rPr>
            </w:pPr>
          </w:p>
        </w:tc>
        <w:tc>
          <w:tcPr>
            <w:tcW w:w="3780" w:type="dxa"/>
            <w:tcBorders>
              <w:left w:val="single" w:sz="2" w:space="0" w:color="auto"/>
            </w:tcBorders>
          </w:tcPr>
          <w:p w:rsidR="0085780C" w:rsidRPr="00293949" w:rsidRDefault="003908D0" w:rsidP="00293949">
            <w:pPr>
              <w:pStyle w:val="ListParagraph"/>
              <w:numPr>
                <w:ilvl w:val="0"/>
                <w:numId w:val="3"/>
              </w:numPr>
              <w:spacing w:before="120"/>
              <w:rPr>
                <w:rFonts w:ascii="Arial" w:hAnsi="Arial" w:cs="Arial"/>
                <w:sz w:val="16"/>
                <w:szCs w:val="16"/>
              </w:rPr>
            </w:pPr>
            <w:r w:rsidRPr="00293949">
              <w:rPr>
                <w:rFonts w:ascii="Arial" w:hAnsi="Arial" w:cs="Arial"/>
                <w:sz w:val="16"/>
              </w:rPr>
              <w:t>Write-up</w:t>
            </w:r>
            <w:r w:rsidR="0085780C" w:rsidRPr="00293949">
              <w:rPr>
                <w:rFonts w:ascii="Arial" w:hAnsi="Arial" w:cs="Arial"/>
                <w:sz w:val="16"/>
              </w:rPr>
              <w:t>, analysis &amp; audit</w:t>
            </w:r>
          </w:p>
        </w:tc>
        <w:tc>
          <w:tcPr>
            <w:tcW w:w="990" w:type="dxa"/>
          </w:tcPr>
          <w:p w:rsidR="0085780C" w:rsidRPr="0072590A" w:rsidRDefault="009567C1" w:rsidP="0073740D">
            <w:pPr>
              <w:spacing w:beforeLines="60" w:before="144"/>
              <w:jc w:val="center"/>
              <w:rPr>
                <w:rFonts w:ascii="Arial" w:hAnsi="Arial" w:cs="Arial"/>
                <w:sz w:val="16"/>
              </w:rPr>
            </w:pPr>
            <w:r>
              <w:rPr>
                <w:rFonts w:ascii="Arial" w:hAnsi="Arial" w:cs="Arial"/>
                <w:sz w:val="16"/>
              </w:rPr>
              <w:t>3</w:t>
            </w:r>
          </w:p>
        </w:tc>
        <w:tc>
          <w:tcPr>
            <w:tcW w:w="990" w:type="dxa"/>
            <w:tcBorders>
              <w:right w:val="single" w:sz="12" w:space="0" w:color="auto"/>
            </w:tcBorders>
          </w:tcPr>
          <w:p w:rsidR="0085780C" w:rsidRPr="0072590A" w:rsidRDefault="0085780C" w:rsidP="0073740D">
            <w:pPr>
              <w:spacing w:beforeLines="60" w:before="144"/>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5B2D86" w:rsidRDefault="005B2D86" w:rsidP="0073740D">
            <w:pPr>
              <w:spacing w:beforeLines="60" w:before="144"/>
              <w:jc w:val="center"/>
              <w:rPr>
                <w:rFonts w:ascii="Arial" w:hAnsi="Arial" w:cs="Arial"/>
                <w:sz w:val="16"/>
              </w:rPr>
            </w:pPr>
            <w:r w:rsidRPr="00FB7041">
              <w:rPr>
                <w:rFonts w:ascii="Arial" w:hAnsi="Arial" w:cs="Arial"/>
                <w:sz w:val="16"/>
              </w:rPr>
              <w:t>No Gap</w:t>
            </w:r>
          </w:p>
        </w:tc>
        <w:tc>
          <w:tcPr>
            <w:tcW w:w="270" w:type="dxa"/>
            <w:vMerge/>
            <w:tcBorders>
              <w:left w:val="single" w:sz="12" w:space="0" w:color="auto"/>
            </w:tcBorders>
            <w:textDirection w:val="btLr"/>
          </w:tcPr>
          <w:p w:rsidR="0085780C" w:rsidRPr="0072590A" w:rsidRDefault="0085780C" w:rsidP="00A16461">
            <w:pPr>
              <w:spacing w:before="60"/>
              <w:ind w:left="113" w:right="113"/>
              <w:jc w:val="center"/>
              <w:rPr>
                <w:rFonts w:ascii="Arial" w:hAnsi="Arial" w:cs="Arial"/>
                <w:i/>
                <w:sz w:val="16"/>
              </w:rPr>
            </w:pPr>
          </w:p>
        </w:tc>
        <w:tc>
          <w:tcPr>
            <w:tcW w:w="3960" w:type="dxa"/>
            <w:tcBorders>
              <w:left w:val="nil"/>
            </w:tcBorders>
            <w:shd w:val="clear" w:color="auto" w:fill="auto"/>
          </w:tcPr>
          <w:p w:rsidR="0085780C" w:rsidRPr="0072590A" w:rsidRDefault="0085780C" w:rsidP="0085780C">
            <w:pPr>
              <w:spacing w:before="60"/>
              <w:rPr>
                <w:rFonts w:ascii="Arial" w:hAnsi="Arial" w:cs="Arial"/>
                <w:color w:val="0000FF"/>
                <w:sz w:val="16"/>
              </w:rPr>
            </w:pPr>
          </w:p>
        </w:tc>
        <w:tc>
          <w:tcPr>
            <w:tcW w:w="1080" w:type="dxa"/>
          </w:tcPr>
          <w:p w:rsidR="0085780C" w:rsidRPr="0072590A" w:rsidRDefault="0085780C" w:rsidP="0085780C">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85780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85780C">
            <w:pPr>
              <w:spacing w:before="120"/>
              <w:jc w:val="center"/>
              <w:rPr>
                <w:rFonts w:ascii="Arial" w:hAnsi="Arial" w:cs="Arial"/>
                <w:b/>
                <w:sz w:val="16"/>
              </w:rPr>
            </w:pPr>
          </w:p>
        </w:tc>
      </w:tr>
      <w:tr w:rsidR="0085780C" w:rsidTr="006A0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270" w:type="dxa"/>
            <w:vMerge/>
            <w:tcBorders>
              <w:left w:val="single" w:sz="18" w:space="0" w:color="auto"/>
              <w:right w:val="single" w:sz="2" w:space="0" w:color="auto"/>
            </w:tcBorders>
            <w:textDirection w:val="btLr"/>
          </w:tcPr>
          <w:p w:rsidR="0085780C" w:rsidRPr="00432A94" w:rsidRDefault="0085780C" w:rsidP="00A16461">
            <w:pPr>
              <w:ind w:left="113" w:right="58"/>
              <w:jc w:val="center"/>
              <w:rPr>
                <w:rFonts w:ascii="Arial" w:hAnsi="Arial" w:cs="Arial"/>
                <w:i/>
                <w:sz w:val="16"/>
                <w:szCs w:val="16"/>
              </w:rPr>
            </w:pPr>
          </w:p>
        </w:tc>
        <w:tc>
          <w:tcPr>
            <w:tcW w:w="3780" w:type="dxa"/>
            <w:tcBorders>
              <w:left w:val="single" w:sz="2" w:space="0" w:color="auto"/>
              <w:bottom w:val="single" w:sz="4" w:space="0" w:color="auto"/>
            </w:tcBorders>
          </w:tcPr>
          <w:p w:rsidR="0085780C" w:rsidRPr="008778C0" w:rsidRDefault="00EE2322" w:rsidP="008778C0">
            <w:pPr>
              <w:pStyle w:val="ListParagraph"/>
              <w:numPr>
                <w:ilvl w:val="0"/>
                <w:numId w:val="11"/>
              </w:numPr>
              <w:spacing w:before="120"/>
              <w:rPr>
                <w:rFonts w:ascii="Arial" w:hAnsi="Arial" w:cs="Arial"/>
                <w:sz w:val="16"/>
              </w:rPr>
            </w:pPr>
            <w:r>
              <w:rPr>
                <w:rFonts w:ascii="Arial" w:hAnsi="Arial" w:cs="Arial"/>
                <w:sz w:val="16"/>
              </w:rPr>
              <w:t>Banking &amp; Accounting Operations Productivity</w:t>
            </w:r>
          </w:p>
        </w:tc>
        <w:tc>
          <w:tcPr>
            <w:tcW w:w="990" w:type="dxa"/>
            <w:tcBorders>
              <w:bottom w:val="single" w:sz="4" w:space="0" w:color="auto"/>
            </w:tcBorders>
          </w:tcPr>
          <w:p w:rsidR="0085780C" w:rsidRPr="0072590A" w:rsidRDefault="003954A4" w:rsidP="0085780C">
            <w:pPr>
              <w:spacing w:before="120"/>
              <w:jc w:val="center"/>
              <w:rPr>
                <w:rFonts w:ascii="Arial" w:hAnsi="Arial" w:cs="Arial"/>
                <w:sz w:val="16"/>
              </w:rPr>
            </w:pPr>
            <w:r>
              <w:rPr>
                <w:rFonts w:ascii="Arial" w:hAnsi="Arial" w:cs="Arial"/>
                <w:sz w:val="16"/>
              </w:rPr>
              <w:t>59</w:t>
            </w:r>
          </w:p>
        </w:tc>
        <w:tc>
          <w:tcPr>
            <w:tcW w:w="990" w:type="dxa"/>
            <w:tcBorders>
              <w:bottom w:val="single" w:sz="4" w:space="0" w:color="auto"/>
              <w:right w:val="single" w:sz="12" w:space="0" w:color="auto"/>
            </w:tcBorders>
          </w:tcPr>
          <w:p w:rsidR="0085780C" w:rsidRPr="0072590A" w:rsidRDefault="006A057D" w:rsidP="0085780C">
            <w:pPr>
              <w:spacing w:before="120"/>
              <w:jc w:val="center"/>
              <w:rPr>
                <w:rFonts w:ascii="Arial" w:hAnsi="Arial" w:cs="Arial"/>
                <w:sz w:val="16"/>
              </w:rPr>
            </w:pPr>
            <w:r>
              <w:rPr>
                <w:rFonts w:ascii="Arial" w:hAnsi="Arial" w:cs="Arial"/>
                <w:sz w:val="16"/>
              </w:rPr>
              <w:t>TBD</w:t>
            </w:r>
          </w:p>
        </w:tc>
        <w:tc>
          <w:tcPr>
            <w:tcW w:w="990" w:type="dxa"/>
            <w:tcBorders>
              <w:top w:val="single" w:sz="4" w:space="0" w:color="auto"/>
              <w:left w:val="single" w:sz="12" w:space="0" w:color="auto"/>
              <w:bottom w:val="single" w:sz="4" w:space="0" w:color="auto"/>
              <w:right w:val="single" w:sz="12" w:space="0" w:color="auto"/>
            </w:tcBorders>
            <w:shd w:val="clear" w:color="auto" w:fill="auto"/>
          </w:tcPr>
          <w:p w:rsidR="0085780C" w:rsidRPr="0072590A" w:rsidRDefault="0085780C" w:rsidP="0085780C">
            <w:pPr>
              <w:spacing w:before="120"/>
              <w:jc w:val="center"/>
              <w:rPr>
                <w:rFonts w:ascii="Arial" w:hAnsi="Arial" w:cs="Arial"/>
                <w:sz w:val="16"/>
              </w:rPr>
            </w:pPr>
          </w:p>
        </w:tc>
        <w:tc>
          <w:tcPr>
            <w:tcW w:w="270" w:type="dxa"/>
            <w:tcBorders>
              <w:left w:val="single" w:sz="12" w:space="0" w:color="auto"/>
            </w:tcBorders>
            <w:textDirection w:val="btLr"/>
          </w:tcPr>
          <w:p w:rsidR="0085780C" w:rsidRPr="0072590A" w:rsidRDefault="0085780C" w:rsidP="008D4F24">
            <w:pPr>
              <w:spacing w:before="60"/>
              <w:jc w:val="center"/>
              <w:rPr>
                <w:rFonts w:ascii="Arial" w:hAnsi="Arial" w:cs="Arial"/>
                <w:i/>
                <w:color w:val="000000" w:themeColor="text1"/>
                <w:sz w:val="16"/>
              </w:rPr>
            </w:pPr>
          </w:p>
        </w:tc>
        <w:tc>
          <w:tcPr>
            <w:tcW w:w="3960" w:type="dxa"/>
            <w:tcBorders>
              <w:left w:val="nil"/>
            </w:tcBorders>
          </w:tcPr>
          <w:p w:rsidR="0085780C" w:rsidRPr="0072590A" w:rsidRDefault="0085780C" w:rsidP="00AC3D54">
            <w:pPr>
              <w:spacing w:before="60"/>
              <w:rPr>
                <w:rFonts w:ascii="Arial" w:hAnsi="Arial" w:cs="Arial"/>
                <w:color w:val="0000FF"/>
                <w:sz w:val="16"/>
              </w:rPr>
            </w:pPr>
          </w:p>
        </w:tc>
        <w:tc>
          <w:tcPr>
            <w:tcW w:w="1080" w:type="dxa"/>
          </w:tcPr>
          <w:p w:rsidR="0085780C" w:rsidRPr="0072590A" w:rsidRDefault="0085780C" w:rsidP="0021354A">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EF0A2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F0A2C">
            <w:pPr>
              <w:spacing w:before="120"/>
              <w:jc w:val="center"/>
              <w:rPr>
                <w:rFonts w:ascii="Arial" w:hAnsi="Arial" w:cs="Arial"/>
                <w:b/>
                <w:sz w:val="16"/>
              </w:rPr>
            </w:pPr>
          </w:p>
        </w:tc>
      </w:tr>
      <w:tr w:rsidR="0085780C" w:rsidTr="008F3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tcBorders>
              <w:left w:val="single" w:sz="18" w:space="0" w:color="auto"/>
              <w:right w:val="single" w:sz="2" w:space="0" w:color="auto"/>
            </w:tcBorders>
          </w:tcPr>
          <w:p w:rsidR="0085780C" w:rsidRDefault="0085780C" w:rsidP="00A16461"/>
        </w:tc>
        <w:tc>
          <w:tcPr>
            <w:tcW w:w="3780" w:type="dxa"/>
            <w:tcBorders>
              <w:left w:val="single" w:sz="2" w:space="0" w:color="auto"/>
              <w:bottom w:val="single" w:sz="2" w:space="0" w:color="auto"/>
            </w:tcBorders>
          </w:tcPr>
          <w:p w:rsidR="0085780C" w:rsidRPr="0072590A" w:rsidRDefault="0085780C" w:rsidP="00E5356D">
            <w:pPr>
              <w:spacing w:before="120"/>
              <w:rPr>
                <w:rFonts w:ascii="Arial" w:hAnsi="Arial" w:cs="Arial"/>
                <w:color w:val="0000FF"/>
                <w:sz w:val="16"/>
                <w:szCs w:val="16"/>
              </w:rPr>
            </w:pPr>
          </w:p>
        </w:tc>
        <w:tc>
          <w:tcPr>
            <w:tcW w:w="990" w:type="dxa"/>
            <w:tcBorders>
              <w:bottom w:val="single" w:sz="2" w:space="0" w:color="auto"/>
            </w:tcBorders>
          </w:tcPr>
          <w:p w:rsidR="0085780C" w:rsidRPr="0072590A" w:rsidRDefault="0085780C" w:rsidP="00E5356D">
            <w:pPr>
              <w:spacing w:before="120" w:line="360" w:lineRule="auto"/>
              <w:jc w:val="center"/>
              <w:rPr>
                <w:rFonts w:ascii="Arial" w:hAnsi="Arial" w:cs="Arial"/>
                <w:sz w:val="16"/>
              </w:rPr>
            </w:pPr>
          </w:p>
        </w:tc>
        <w:tc>
          <w:tcPr>
            <w:tcW w:w="990" w:type="dxa"/>
            <w:tcBorders>
              <w:bottom w:val="single" w:sz="2" w:space="0" w:color="auto"/>
              <w:right w:val="single" w:sz="12" w:space="0" w:color="auto"/>
            </w:tcBorders>
          </w:tcPr>
          <w:p w:rsidR="0085780C" w:rsidRPr="0072590A" w:rsidRDefault="0085780C" w:rsidP="00E5356D">
            <w:pPr>
              <w:spacing w:before="120"/>
              <w:jc w:val="center"/>
              <w:rPr>
                <w:rFonts w:ascii="Arial" w:hAnsi="Arial" w:cs="Arial"/>
                <w:sz w:val="16"/>
              </w:rPr>
            </w:pPr>
          </w:p>
        </w:tc>
        <w:tc>
          <w:tcPr>
            <w:tcW w:w="990" w:type="dxa"/>
            <w:tcBorders>
              <w:left w:val="single" w:sz="12" w:space="0" w:color="auto"/>
              <w:bottom w:val="single" w:sz="2" w:space="0" w:color="auto"/>
              <w:right w:val="single" w:sz="12" w:space="0" w:color="auto"/>
            </w:tcBorders>
            <w:shd w:val="clear" w:color="auto" w:fill="auto"/>
          </w:tcPr>
          <w:p w:rsidR="0085780C" w:rsidRPr="0072590A" w:rsidRDefault="0085780C" w:rsidP="00E5356D">
            <w:pPr>
              <w:spacing w:before="120"/>
              <w:jc w:val="center"/>
              <w:rPr>
                <w:rFonts w:ascii="Arial" w:hAnsi="Arial" w:cs="Arial"/>
                <w:b/>
                <w:sz w:val="16"/>
              </w:rPr>
            </w:pPr>
          </w:p>
        </w:tc>
        <w:tc>
          <w:tcPr>
            <w:tcW w:w="270" w:type="dxa"/>
            <w:tcBorders>
              <w:left w:val="single" w:sz="12" w:space="0" w:color="auto"/>
              <w:bottom w:val="nil"/>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nil"/>
            </w:tcBorders>
          </w:tcPr>
          <w:p w:rsidR="0085780C" w:rsidRPr="0072590A" w:rsidRDefault="0085780C" w:rsidP="00E70D1B">
            <w:pPr>
              <w:spacing w:before="60"/>
              <w:rPr>
                <w:rFonts w:ascii="Arial" w:hAnsi="Arial" w:cs="Arial"/>
                <w:color w:val="0000FF"/>
                <w:sz w:val="16"/>
              </w:rPr>
            </w:pPr>
          </w:p>
        </w:tc>
        <w:tc>
          <w:tcPr>
            <w:tcW w:w="1080" w:type="dxa"/>
            <w:tcBorders>
              <w:bottom w:val="nil"/>
            </w:tcBorders>
          </w:tcPr>
          <w:p w:rsidR="0085780C" w:rsidRPr="0072590A" w:rsidRDefault="0085780C" w:rsidP="00E70D1B">
            <w:pPr>
              <w:pStyle w:val="Style8ptCenteredBefore2pt"/>
              <w:rPr>
                <w:rFonts w:ascii="Arial" w:hAnsi="Arial" w:cs="Arial"/>
              </w:rPr>
            </w:pPr>
          </w:p>
        </w:tc>
        <w:tc>
          <w:tcPr>
            <w:tcW w:w="990" w:type="dxa"/>
            <w:tcBorders>
              <w:bottom w:val="nil"/>
              <w:right w:val="single" w:sz="12" w:space="0" w:color="auto"/>
            </w:tcBorders>
          </w:tcPr>
          <w:p w:rsidR="0085780C" w:rsidRPr="0072590A" w:rsidRDefault="0085780C" w:rsidP="00E70D1B">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RPr="007F0D56"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70" w:type="dxa"/>
            <w:vMerge/>
            <w:tcBorders>
              <w:left w:val="single" w:sz="18" w:space="0" w:color="auto"/>
              <w:bottom w:val="single" w:sz="2" w:space="0" w:color="auto"/>
              <w:right w:val="single" w:sz="2" w:space="0" w:color="auto"/>
            </w:tcBorders>
            <w:textDirection w:val="btLr"/>
          </w:tcPr>
          <w:p w:rsidR="0085780C" w:rsidRDefault="0085780C" w:rsidP="00B674B7">
            <w:pPr>
              <w:ind w:left="113" w:right="113"/>
              <w:jc w:val="center"/>
            </w:pPr>
          </w:p>
        </w:tc>
        <w:tc>
          <w:tcPr>
            <w:tcW w:w="3780" w:type="dxa"/>
            <w:tcBorders>
              <w:top w:val="single" w:sz="2" w:space="0" w:color="auto"/>
              <w:left w:val="single" w:sz="2" w:space="0" w:color="auto"/>
              <w:bottom w:val="single" w:sz="2" w:space="0" w:color="auto"/>
            </w:tcBorders>
          </w:tcPr>
          <w:p w:rsidR="0085780C" w:rsidRPr="0072590A" w:rsidRDefault="0085780C" w:rsidP="00781FF3">
            <w:pPr>
              <w:spacing w:before="60"/>
              <w:rPr>
                <w:rFonts w:ascii="Arial" w:hAnsi="Arial" w:cs="Arial"/>
                <w:sz w:val="16"/>
              </w:rPr>
            </w:pPr>
          </w:p>
        </w:tc>
        <w:tc>
          <w:tcPr>
            <w:tcW w:w="990" w:type="dxa"/>
            <w:tcBorders>
              <w:top w:val="single" w:sz="2" w:space="0" w:color="auto"/>
              <w:bottom w:val="single" w:sz="2" w:space="0" w:color="auto"/>
            </w:tcBorders>
          </w:tcPr>
          <w:p w:rsidR="0085780C" w:rsidRPr="0072590A" w:rsidRDefault="0085780C" w:rsidP="00781FF3">
            <w:pPr>
              <w:spacing w:before="40"/>
              <w:jc w:val="center"/>
              <w:rPr>
                <w:rFonts w:ascii="Arial" w:hAnsi="Arial" w:cs="Arial"/>
                <w:sz w:val="16"/>
              </w:rPr>
            </w:pPr>
          </w:p>
        </w:tc>
        <w:tc>
          <w:tcPr>
            <w:tcW w:w="990" w:type="dxa"/>
            <w:tcBorders>
              <w:top w:val="single" w:sz="2" w:space="0" w:color="auto"/>
              <w:bottom w:val="single" w:sz="2" w:space="0" w:color="auto"/>
              <w:right w:val="single" w:sz="12" w:space="0" w:color="auto"/>
            </w:tcBorders>
          </w:tcPr>
          <w:p w:rsidR="0085780C" w:rsidRPr="0072590A" w:rsidRDefault="0085780C" w:rsidP="00781FF3">
            <w:pPr>
              <w:spacing w:before="60"/>
              <w:jc w:val="center"/>
              <w:rPr>
                <w:rFonts w:ascii="Arial" w:hAnsi="Arial" w:cs="Arial"/>
                <w:sz w:val="16"/>
              </w:rPr>
            </w:pPr>
          </w:p>
        </w:tc>
        <w:tc>
          <w:tcPr>
            <w:tcW w:w="990" w:type="dxa"/>
            <w:tcBorders>
              <w:top w:val="single" w:sz="2" w:space="0" w:color="auto"/>
              <w:left w:val="single" w:sz="12" w:space="0" w:color="auto"/>
              <w:bottom w:val="single" w:sz="2" w:space="0" w:color="auto"/>
              <w:right w:val="single" w:sz="12" w:space="0" w:color="auto"/>
            </w:tcBorders>
            <w:shd w:val="clear" w:color="auto" w:fill="FFFFFF"/>
          </w:tcPr>
          <w:p w:rsidR="0085780C" w:rsidRPr="0072590A" w:rsidRDefault="0085780C" w:rsidP="00781FF3">
            <w:pPr>
              <w:spacing w:before="60"/>
              <w:jc w:val="center"/>
              <w:rPr>
                <w:rFonts w:ascii="Arial" w:hAnsi="Arial" w:cs="Arial"/>
                <w:b/>
                <w:sz w:val="16"/>
              </w:rPr>
            </w:pPr>
          </w:p>
        </w:tc>
        <w:tc>
          <w:tcPr>
            <w:tcW w:w="270" w:type="dxa"/>
            <w:tcBorders>
              <w:left w:val="single" w:sz="12" w:space="0" w:color="auto"/>
              <w:bottom w:val="single" w:sz="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single" w:sz="2" w:space="0" w:color="auto"/>
            </w:tcBorders>
            <w:shd w:val="clear" w:color="auto" w:fill="auto"/>
          </w:tcPr>
          <w:p w:rsidR="0085780C" w:rsidRPr="0072590A" w:rsidRDefault="0085780C" w:rsidP="00E70D1B">
            <w:pPr>
              <w:spacing w:before="60"/>
              <w:rPr>
                <w:rFonts w:ascii="Arial" w:hAnsi="Arial" w:cs="Arial"/>
                <w:color w:val="0000FF"/>
                <w:sz w:val="16"/>
              </w:rPr>
            </w:pPr>
          </w:p>
        </w:tc>
        <w:tc>
          <w:tcPr>
            <w:tcW w:w="1080" w:type="dxa"/>
            <w:tcBorders>
              <w:bottom w:val="single" w:sz="2" w:space="0" w:color="auto"/>
            </w:tcBorders>
            <w:shd w:val="clear" w:color="auto" w:fill="auto"/>
          </w:tcPr>
          <w:p w:rsidR="0085780C" w:rsidRPr="0072590A" w:rsidRDefault="0085780C" w:rsidP="00E70D1B">
            <w:pPr>
              <w:spacing w:before="40"/>
              <w:jc w:val="center"/>
              <w:rPr>
                <w:rFonts w:ascii="Arial" w:hAnsi="Arial" w:cs="Arial"/>
                <w:sz w:val="16"/>
              </w:rPr>
            </w:pPr>
          </w:p>
        </w:tc>
        <w:tc>
          <w:tcPr>
            <w:tcW w:w="990" w:type="dxa"/>
            <w:tcBorders>
              <w:bottom w:val="single" w:sz="2" w:space="0" w:color="auto"/>
              <w:right w:val="single" w:sz="12" w:space="0" w:color="auto"/>
            </w:tcBorders>
            <w:shd w:val="clear" w:color="auto" w:fill="auto"/>
          </w:tcPr>
          <w:p w:rsidR="0085780C" w:rsidRPr="0072590A" w:rsidRDefault="0085780C" w:rsidP="00E70D1B">
            <w:pPr>
              <w:spacing w:before="60"/>
              <w:jc w:val="center"/>
              <w:rPr>
                <w:rFonts w:ascii="Arial" w:hAnsi="Arial" w:cs="Arial"/>
                <w:sz w:val="16"/>
                <w:szCs w:val="16"/>
              </w:rPr>
            </w:pPr>
          </w:p>
        </w:tc>
        <w:tc>
          <w:tcPr>
            <w:tcW w:w="900" w:type="dxa"/>
            <w:tcBorders>
              <w:top w:val="single" w:sz="4" w:space="0" w:color="auto"/>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270" w:type="dxa"/>
            <w:tcBorders>
              <w:top w:val="single" w:sz="2" w:space="0" w:color="auto"/>
              <w:left w:val="single" w:sz="18" w:space="0" w:color="auto"/>
              <w:bottom w:val="single" w:sz="12" w:space="0" w:color="auto"/>
              <w:right w:val="nil"/>
            </w:tcBorders>
            <w:textDirection w:val="btLr"/>
          </w:tcPr>
          <w:p w:rsidR="0085780C" w:rsidRPr="00F9671E" w:rsidRDefault="0085780C" w:rsidP="00EC3E71">
            <w:pPr>
              <w:ind w:left="113" w:right="113"/>
              <w:jc w:val="center"/>
              <w:rPr>
                <w:sz w:val="16"/>
                <w:szCs w:val="16"/>
              </w:rPr>
            </w:pPr>
          </w:p>
        </w:tc>
        <w:tc>
          <w:tcPr>
            <w:tcW w:w="3780" w:type="dxa"/>
            <w:tcBorders>
              <w:top w:val="single" w:sz="2" w:space="0" w:color="auto"/>
              <w:left w:val="single" w:sz="4" w:space="0" w:color="auto"/>
              <w:bottom w:val="single" w:sz="12" w:space="0" w:color="auto"/>
            </w:tcBorders>
          </w:tcPr>
          <w:p w:rsidR="0085780C" w:rsidRPr="0072590A" w:rsidRDefault="0085780C" w:rsidP="00235F04">
            <w:pPr>
              <w:spacing w:before="60"/>
              <w:rPr>
                <w:rFonts w:ascii="Arial" w:hAnsi="Arial" w:cs="Arial"/>
                <w:sz w:val="16"/>
                <w:szCs w:val="16"/>
              </w:rPr>
            </w:pPr>
          </w:p>
        </w:tc>
        <w:tc>
          <w:tcPr>
            <w:tcW w:w="990" w:type="dxa"/>
            <w:tcBorders>
              <w:top w:val="single" w:sz="2" w:space="0" w:color="auto"/>
              <w:bottom w:val="single" w:sz="12" w:space="0" w:color="auto"/>
            </w:tcBorders>
          </w:tcPr>
          <w:p w:rsidR="0085780C" w:rsidRPr="0072590A" w:rsidRDefault="0085780C" w:rsidP="00235F04">
            <w:pPr>
              <w:spacing w:before="40"/>
              <w:jc w:val="center"/>
              <w:rPr>
                <w:rFonts w:ascii="Arial" w:hAnsi="Arial" w:cs="Arial"/>
                <w:sz w:val="16"/>
              </w:rPr>
            </w:pPr>
          </w:p>
        </w:tc>
        <w:tc>
          <w:tcPr>
            <w:tcW w:w="990" w:type="dxa"/>
            <w:tcBorders>
              <w:top w:val="single" w:sz="2" w:space="0" w:color="auto"/>
              <w:bottom w:val="single" w:sz="12" w:space="0" w:color="auto"/>
              <w:right w:val="single" w:sz="12" w:space="0" w:color="auto"/>
            </w:tcBorders>
          </w:tcPr>
          <w:p w:rsidR="0085780C" w:rsidRPr="0072590A" w:rsidRDefault="0085780C" w:rsidP="0073740D">
            <w:pPr>
              <w:spacing w:beforeLines="60" w:before="144"/>
              <w:jc w:val="center"/>
              <w:rPr>
                <w:rFonts w:ascii="Arial" w:hAnsi="Arial" w:cs="Arial"/>
                <w:sz w:val="16"/>
              </w:rPr>
            </w:pPr>
          </w:p>
        </w:tc>
        <w:tc>
          <w:tcPr>
            <w:tcW w:w="990" w:type="dxa"/>
            <w:tcBorders>
              <w:top w:val="single" w:sz="2" w:space="0" w:color="auto"/>
              <w:left w:val="single" w:sz="12" w:space="0" w:color="auto"/>
              <w:bottom w:val="single" w:sz="12" w:space="0" w:color="auto"/>
              <w:right w:val="single" w:sz="12" w:space="0" w:color="auto"/>
            </w:tcBorders>
            <w:shd w:val="clear" w:color="auto" w:fill="FFFFFF"/>
          </w:tcPr>
          <w:p w:rsidR="0085780C" w:rsidRPr="0072590A" w:rsidRDefault="0085780C" w:rsidP="00235F04">
            <w:pPr>
              <w:jc w:val="center"/>
              <w:rPr>
                <w:rFonts w:ascii="Arial" w:hAnsi="Arial" w:cs="Arial"/>
                <w:b/>
                <w:sz w:val="16"/>
              </w:rPr>
            </w:pPr>
          </w:p>
        </w:tc>
        <w:tc>
          <w:tcPr>
            <w:tcW w:w="270" w:type="dxa"/>
            <w:tcBorders>
              <w:top w:val="single" w:sz="2" w:space="0" w:color="auto"/>
              <w:left w:val="single" w:sz="12" w:space="0" w:color="auto"/>
              <w:bottom w:val="single" w:sz="1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top w:val="single" w:sz="2" w:space="0" w:color="auto"/>
              <w:left w:val="nil"/>
              <w:bottom w:val="single" w:sz="12" w:space="0" w:color="auto"/>
            </w:tcBorders>
            <w:shd w:val="clear" w:color="auto" w:fill="auto"/>
          </w:tcPr>
          <w:p w:rsidR="0085780C" w:rsidRPr="0072590A" w:rsidRDefault="0085780C" w:rsidP="00A16461">
            <w:pPr>
              <w:spacing w:before="60"/>
              <w:rPr>
                <w:rFonts w:ascii="Arial" w:hAnsi="Arial" w:cs="Arial"/>
                <w:sz w:val="16"/>
              </w:rPr>
            </w:pPr>
          </w:p>
        </w:tc>
        <w:tc>
          <w:tcPr>
            <w:tcW w:w="1080" w:type="dxa"/>
            <w:tcBorders>
              <w:top w:val="single" w:sz="2" w:space="0" w:color="auto"/>
              <w:bottom w:val="single" w:sz="12" w:space="0" w:color="auto"/>
            </w:tcBorders>
            <w:shd w:val="clear" w:color="auto" w:fill="auto"/>
          </w:tcPr>
          <w:p w:rsidR="0085780C" w:rsidRPr="0072590A" w:rsidRDefault="0085780C" w:rsidP="00A16461">
            <w:pPr>
              <w:jc w:val="center"/>
              <w:rPr>
                <w:rFonts w:ascii="Arial" w:hAnsi="Arial" w:cs="Arial"/>
                <w:sz w:val="16"/>
              </w:rPr>
            </w:pPr>
          </w:p>
        </w:tc>
        <w:tc>
          <w:tcPr>
            <w:tcW w:w="990" w:type="dxa"/>
            <w:tcBorders>
              <w:top w:val="single" w:sz="2" w:space="0" w:color="auto"/>
              <w:bottom w:val="single" w:sz="12" w:space="0" w:color="auto"/>
              <w:right w:val="single" w:sz="12" w:space="0" w:color="auto"/>
            </w:tcBorders>
            <w:shd w:val="clear" w:color="auto" w:fill="auto"/>
          </w:tcPr>
          <w:p w:rsidR="0085780C" w:rsidRPr="0072590A" w:rsidRDefault="0085780C" w:rsidP="00A16461">
            <w:pPr>
              <w:spacing w:before="60"/>
              <w:jc w:val="center"/>
              <w:rPr>
                <w:rFonts w:ascii="Arial" w:hAnsi="Arial" w:cs="Arial"/>
                <w:sz w:val="16"/>
              </w:rPr>
            </w:pPr>
          </w:p>
        </w:tc>
        <w:tc>
          <w:tcPr>
            <w:tcW w:w="900" w:type="dxa"/>
            <w:tcBorders>
              <w:top w:val="single" w:sz="4" w:space="0" w:color="auto"/>
              <w:left w:val="single" w:sz="12" w:space="0" w:color="auto"/>
              <w:bottom w:val="single" w:sz="12"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single" w:sz="12" w:space="0" w:color="auto"/>
              <w:left w:val="single" w:sz="18" w:space="0" w:color="auto"/>
              <w:bottom w:val="single" w:sz="12" w:space="0" w:color="auto"/>
              <w:right w:val="single" w:sz="12" w:space="0" w:color="auto"/>
            </w:tcBorders>
          </w:tcPr>
          <w:p w:rsidR="0085780C" w:rsidRPr="0072590A" w:rsidRDefault="0085780C" w:rsidP="00B97571">
            <w:pPr>
              <w:pStyle w:val="Heading6"/>
              <w:jc w:val="center"/>
              <w:rPr>
                <w:rFonts w:cs="Arial"/>
                <w:b/>
              </w:rPr>
            </w:pPr>
            <w:r>
              <w:rPr>
                <w:rFonts w:cs="Arial"/>
                <w:b/>
              </w:rPr>
              <w:t>INTERNAL BUSINESS PROCESS</w:t>
            </w:r>
          </w:p>
        </w:tc>
        <w:tc>
          <w:tcPr>
            <w:tcW w:w="7200" w:type="dxa"/>
            <w:gridSpan w:val="5"/>
            <w:tcBorders>
              <w:top w:val="single" w:sz="12" w:space="0" w:color="auto"/>
              <w:left w:val="single" w:sz="12" w:space="0" w:color="auto"/>
              <w:bottom w:val="single" w:sz="12" w:space="0" w:color="auto"/>
              <w:right w:val="single" w:sz="18" w:space="0" w:color="auto"/>
            </w:tcBorders>
          </w:tcPr>
          <w:p w:rsidR="0085780C" w:rsidRPr="0072590A" w:rsidRDefault="0085780C" w:rsidP="00C10EDE">
            <w:pPr>
              <w:pStyle w:val="Heading6"/>
              <w:tabs>
                <w:tab w:val="left" w:pos="360"/>
                <w:tab w:val="center" w:pos="3492"/>
              </w:tabs>
              <w:rPr>
                <w:rFonts w:cs="Arial"/>
                <w:b/>
              </w:rPr>
            </w:pPr>
            <w:r>
              <w:rPr>
                <w:rFonts w:cs="Arial"/>
                <w:b/>
              </w:rPr>
              <w:tab/>
            </w:r>
            <w:r>
              <w:rPr>
                <w:rFonts w:cs="Arial"/>
                <w:b/>
              </w:rPr>
              <w:tab/>
              <w:t>LEARNING &amp; GROWTH</w:t>
            </w: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270" w:type="dxa"/>
            <w:tcBorders>
              <w:top w:val="single" w:sz="12" w:space="0" w:color="auto"/>
              <w:left w:val="single" w:sz="18" w:space="0" w:color="auto"/>
              <w:right w:val="nil"/>
            </w:tcBorders>
          </w:tcPr>
          <w:p w:rsidR="0085780C" w:rsidRDefault="0085780C" w:rsidP="00A16461">
            <w:pPr>
              <w:jc w:val="center"/>
              <w:rPr>
                <w:i/>
                <w:sz w:val="18"/>
              </w:rPr>
            </w:pPr>
          </w:p>
          <w:p w:rsidR="0085780C" w:rsidRDefault="0085780C" w:rsidP="00A16461">
            <w:pPr>
              <w:jc w:val="center"/>
              <w:rPr>
                <w:b/>
                <w:i/>
                <w:sz w:val="18"/>
              </w:rPr>
            </w:pPr>
          </w:p>
        </w:tc>
        <w:tc>
          <w:tcPr>
            <w:tcW w:w="3780" w:type="dxa"/>
            <w:tcBorders>
              <w:top w:val="single" w:sz="12" w:space="0" w:color="auto"/>
              <w:left w:val="single" w:sz="4"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bottom w:val="single" w:sz="2" w:space="0" w:color="auto"/>
              <w:right w:val="nil"/>
            </w:tcBorders>
          </w:tcPr>
          <w:p w:rsidR="0085780C" w:rsidRPr="0072590A" w:rsidRDefault="0085780C" w:rsidP="00A16461">
            <w:pPr>
              <w:pStyle w:val="Header"/>
              <w:tabs>
                <w:tab w:val="clear" w:pos="4320"/>
                <w:tab w:val="clear" w:pos="8640"/>
              </w:tabs>
              <w:rPr>
                <w:rFonts w:ascii="Arial" w:hAnsi="Arial" w:cs="Arial"/>
                <w:b w:val="0"/>
                <w:sz w:val="18"/>
              </w:rPr>
            </w:pPr>
          </w:p>
          <w:p w:rsidR="0085780C" w:rsidRPr="0072590A" w:rsidRDefault="0085780C" w:rsidP="00A16461">
            <w:pPr>
              <w:pStyle w:val="Header"/>
              <w:tabs>
                <w:tab w:val="clear" w:pos="4320"/>
                <w:tab w:val="clear" w:pos="8640"/>
              </w:tabs>
              <w:rPr>
                <w:rFonts w:ascii="Arial" w:hAnsi="Arial" w:cs="Arial"/>
                <w:sz w:val="18"/>
              </w:rPr>
            </w:pPr>
          </w:p>
        </w:tc>
        <w:tc>
          <w:tcPr>
            <w:tcW w:w="3960" w:type="dxa"/>
            <w:tcBorders>
              <w:top w:val="single" w:sz="12" w:space="0" w:color="auto"/>
              <w:left w:val="single" w:sz="4" w:space="0" w:color="auto"/>
            </w:tcBorders>
          </w:tcPr>
          <w:p w:rsidR="0085780C" w:rsidRPr="0072590A" w:rsidRDefault="0085780C" w:rsidP="00A16461">
            <w:pPr>
              <w:pStyle w:val="Heading5"/>
              <w:rPr>
                <w:rFonts w:ascii="Arial" w:hAnsi="Arial" w:cs="Arial"/>
                <w:b/>
                <w:i w:val="0"/>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108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pStyle w:val="Heading7"/>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pStyle w:val="Heading7"/>
              <w:rPr>
                <w:rFonts w:ascii="Arial" w:hAnsi="Arial" w:cs="Arial"/>
                <w:b/>
                <w:sz w:val="18"/>
              </w:rPr>
            </w:pPr>
          </w:p>
          <w:p w:rsidR="0085780C" w:rsidRPr="0072590A" w:rsidRDefault="0085780C" w:rsidP="00A16461">
            <w:pPr>
              <w:rPr>
                <w:rFonts w:ascii="Arial" w:hAnsi="Arial" w:cs="Arial"/>
                <w:sz w:val="18"/>
              </w:rPr>
            </w:pPr>
          </w:p>
          <w:p w:rsidR="0085780C" w:rsidRPr="0072590A" w:rsidRDefault="0085780C" w:rsidP="00C10EDE">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left w:val="single" w:sz="18"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tcBorders>
          </w:tcPr>
          <w:p w:rsidR="0085780C" w:rsidRPr="00D40450" w:rsidRDefault="0085780C" w:rsidP="00892896">
            <w:pPr>
              <w:pStyle w:val="ListParagraph"/>
              <w:numPr>
                <w:ilvl w:val="0"/>
                <w:numId w:val="11"/>
              </w:numPr>
              <w:spacing w:before="120"/>
              <w:rPr>
                <w:rFonts w:ascii="Arial" w:hAnsi="Arial" w:cs="Arial"/>
                <w:sz w:val="16"/>
              </w:rPr>
            </w:pPr>
            <w:r w:rsidRPr="00D40450">
              <w:rPr>
                <w:rFonts w:ascii="Arial" w:hAnsi="Arial" w:cs="Arial"/>
                <w:sz w:val="16"/>
              </w:rPr>
              <w:t>Number of</w:t>
            </w:r>
            <w:r w:rsidR="004D4447">
              <w:rPr>
                <w:rFonts w:ascii="Arial" w:hAnsi="Arial" w:cs="Arial"/>
                <w:sz w:val="16"/>
              </w:rPr>
              <w:t xml:space="preserve"> manual</w:t>
            </w:r>
            <w:r w:rsidR="00892896">
              <w:rPr>
                <w:rFonts w:ascii="Arial" w:hAnsi="Arial" w:cs="Arial"/>
                <w:sz w:val="16"/>
              </w:rPr>
              <w:t xml:space="preserve"> </w:t>
            </w:r>
            <w:r w:rsidRPr="00D40450">
              <w:rPr>
                <w:rFonts w:ascii="Arial" w:hAnsi="Arial" w:cs="Arial"/>
                <w:sz w:val="16"/>
              </w:rPr>
              <w:t>entry transactions</w:t>
            </w:r>
          </w:p>
        </w:tc>
        <w:tc>
          <w:tcPr>
            <w:tcW w:w="990" w:type="dxa"/>
          </w:tcPr>
          <w:p w:rsidR="0085780C" w:rsidRPr="0072590A" w:rsidRDefault="00FB7041" w:rsidP="006A057D">
            <w:pPr>
              <w:spacing w:before="120"/>
              <w:jc w:val="center"/>
              <w:rPr>
                <w:rFonts w:ascii="Arial" w:hAnsi="Arial" w:cs="Arial"/>
                <w:sz w:val="16"/>
              </w:rPr>
            </w:pPr>
            <w:r>
              <w:rPr>
                <w:rFonts w:ascii="Arial" w:hAnsi="Arial" w:cs="Arial"/>
                <w:sz w:val="16"/>
              </w:rPr>
              <w:t>3,730</w:t>
            </w:r>
          </w:p>
        </w:tc>
        <w:tc>
          <w:tcPr>
            <w:tcW w:w="990" w:type="dxa"/>
            <w:tcBorders>
              <w:right w:val="single" w:sz="12" w:space="0" w:color="auto"/>
            </w:tcBorders>
            <w:shd w:val="clear" w:color="auto" w:fill="auto"/>
          </w:tcPr>
          <w:p w:rsidR="0085780C" w:rsidRPr="0072590A" w:rsidRDefault="0085780C" w:rsidP="0085780C">
            <w:pPr>
              <w:spacing w:before="120"/>
              <w:jc w:val="center"/>
              <w:rPr>
                <w:rFonts w:ascii="Arial" w:hAnsi="Arial" w:cs="Arial"/>
                <w:sz w:val="16"/>
              </w:rPr>
            </w:pPr>
            <w:r>
              <w:rPr>
                <w:rFonts w:ascii="Arial" w:hAnsi="Arial" w:cs="Arial"/>
                <w:sz w:val="16"/>
              </w:rPr>
              <w:t>20,000</w:t>
            </w:r>
          </w:p>
        </w:tc>
        <w:tc>
          <w:tcPr>
            <w:tcW w:w="990" w:type="dxa"/>
            <w:tcBorders>
              <w:left w:val="single" w:sz="12" w:space="0" w:color="auto"/>
              <w:bottom w:val="single" w:sz="4" w:space="0" w:color="auto"/>
              <w:right w:val="single" w:sz="12" w:space="0" w:color="auto"/>
            </w:tcBorders>
            <w:shd w:val="clear" w:color="auto" w:fill="00B050"/>
          </w:tcPr>
          <w:p w:rsidR="0085780C" w:rsidRPr="0072590A" w:rsidRDefault="0085780C" w:rsidP="0073740D">
            <w:pPr>
              <w:spacing w:beforeLines="60" w:before="144"/>
              <w:jc w:val="center"/>
              <w:rPr>
                <w:rFonts w:ascii="Arial" w:hAnsi="Arial" w:cs="Arial"/>
                <w:sz w:val="16"/>
              </w:rPr>
            </w:pPr>
            <w:r>
              <w:rPr>
                <w:rFonts w:ascii="Arial" w:hAnsi="Arial" w:cs="Arial"/>
                <w:sz w:val="16"/>
              </w:rPr>
              <w:t>No Gap</w:t>
            </w:r>
          </w:p>
        </w:tc>
        <w:tc>
          <w:tcPr>
            <w:tcW w:w="270" w:type="dxa"/>
            <w:vMerge w:val="restart"/>
            <w:tcBorders>
              <w:top w:val="single" w:sz="2" w:space="0" w:color="auto"/>
              <w:left w:val="single" w:sz="12" w:space="0" w:color="auto"/>
              <w:right w:val="single" w:sz="2" w:space="0" w:color="auto"/>
            </w:tcBorders>
            <w:textDirection w:val="btLr"/>
          </w:tcPr>
          <w:p w:rsidR="0085780C" w:rsidRPr="0072590A" w:rsidRDefault="0085780C" w:rsidP="008D4F24">
            <w:pPr>
              <w:pStyle w:val="BodyText2"/>
              <w:rPr>
                <w:rFonts w:cs="Arial"/>
                <w:i w:val="0"/>
              </w:rPr>
            </w:pPr>
          </w:p>
        </w:tc>
        <w:tc>
          <w:tcPr>
            <w:tcW w:w="3960" w:type="dxa"/>
            <w:tcBorders>
              <w:left w:val="single" w:sz="2" w:space="0" w:color="auto"/>
            </w:tcBorders>
          </w:tcPr>
          <w:p w:rsidR="0085780C" w:rsidRPr="0072590A" w:rsidRDefault="0085780C" w:rsidP="00D40450">
            <w:pPr>
              <w:pStyle w:val="ListParagraph"/>
              <w:spacing w:before="120"/>
              <w:ind w:left="360"/>
              <w:rPr>
                <w:rFonts w:ascii="Arial" w:hAnsi="Arial" w:cs="Arial"/>
                <w:sz w:val="16"/>
              </w:rPr>
            </w:pPr>
          </w:p>
        </w:tc>
        <w:tc>
          <w:tcPr>
            <w:tcW w:w="1080" w:type="dxa"/>
          </w:tcPr>
          <w:p w:rsidR="0085780C" w:rsidRPr="0072590A" w:rsidRDefault="0085780C" w:rsidP="00967958">
            <w:pPr>
              <w:pStyle w:val="Style8ptCenteredBefore2pt"/>
              <w:rPr>
                <w:rFonts w:ascii="Arial" w:hAnsi="Arial" w:cs="Arial"/>
              </w:rPr>
            </w:pPr>
          </w:p>
        </w:tc>
        <w:tc>
          <w:tcPr>
            <w:tcW w:w="990" w:type="dxa"/>
            <w:tcBorders>
              <w:right w:val="single" w:sz="12" w:space="0" w:color="auto"/>
            </w:tcBorders>
          </w:tcPr>
          <w:p w:rsidR="0085780C" w:rsidRPr="0072590A" w:rsidRDefault="0085780C" w:rsidP="006C460F">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270" w:type="dxa"/>
            <w:vMerge/>
            <w:tcBorders>
              <w:left w:val="single" w:sz="18" w:space="0" w:color="auto"/>
              <w:bottom w:val="single" w:sz="4"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bottom w:val="single" w:sz="4" w:space="0" w:color="auto"/>
            </w:tcBorders>
          </w:tcPr>
          <w:p w:rsidR="0085780C" w:rsidRPr="00293949" w:rsidRDefault="0085780C" w:rsidP="008778C0">
            <w:pPr>
              <w:pStyle w:val="ListParagraph"/>
              <w:numPr>
                <w:ilvl w:val="0"/>
                <w:numId w:val="11"/>
              </w:numPr>
              <w:spacing w:before="120"/>
              <w:rPr>
                <w:rFonts w:ascii="Arial" w:hAnsi="Arial" w:cs="Arial"/>
                <w:sz w:val="16"/>
              </w:rPr>
            </w:pPr>
            <w:r>
              <w:rPr>
                <w:rFonts w:ascii="Arial" w:hAnsi="Arial" w:cs="Arial"/>
                <w:sz w:val="16"/>
              </w:rPr>
              <w:t>CTI’s &amp; ISD’s processed later than one month following the date of service</w:t>
            </w:r>
          </w:p>
        </w:tc>
        <w:tc>
          <w:tcPr>
            <w:tcW w:w="990" w:type="dxa"/>
            <w:tcBorders>
              <w:bottom w:val="single" w:sz="4" w:space="0" w:color="auto"/>
            </w:tcBorders>
          </w:tcPr>
          <w:p w:rsidR="0085780C" w:rsidRPr="0072590A" w:rsidRDefault="00FB7041" w:rsidP="0073740D">
            <w:pPr>
              <w:spacing w:beforeLines="60" w:before="144"/>
              <w:jc w:val="center"/>
              <w:rPr>
                <w:rFonts w:ascii="Arial" w:hAnsi="Arial" w:cs="Arial"/>
                <w:sz w:val="16"/>
              </w:rPr>
            </w:pPr>
            <w:r>
              <w:rPr>
                <w:rFonts w:ascii="Arial" w:hAnsi="Arial" w:cs="Arial"/>
                <w:sz w:val="16"/>
              </w:rPr>
              <w:t>6</w:t>
            </w:r>
            <w:r w:rsidR="0085780C">
              <w:rPr>
                <w:rFonts w:ascii="Arial" w:hAnsi="Arial" w:cs="Arial"/>
                <w:sz w:val="16"/>
              </w:rPr>
              <w:t>%</w:t>
            </w:r>
          </w:p>
        </w:tc>
        <w:tc>
          <w:tcPr>
            <w:tcW w:w="990" w:type="dxa"/>
            <w:tcBorders>
              <w:bottom w:val="single" w:sz="4" w:space="0" w:color="auto"/>
              <w:right w:val="single" w:sz="12" w:space="0" w:color="auto"/>
            </w:tcBorders>
          </w:tcPr>
          <w:p w:rsidR="0085780C" w:rsidRPr="0072590A" w:rsidRDefault="0085780C" w:rsidP="004D4447">
            <w:pPr>
              <w:spacing w:before="120"/>
              <w:jc w:val="center"/>
              <w:rPr>
                <w:rFonts w:ascii="Arial" w:hAnsi="Arial" w:cs="Arial"/>
                <w:sz w:val="16"/>
              </w:rPr>
            </w:pPr>
            <w:r>
              <w:rPr>
                <w:rFonts w:ascii="Arial" w:hAnsi="Arial" w:cs="Arial"/>
                <w:sz w:val="16"/>
              </w:rPr>
              <w:t>1%</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F63A5B" w:rsidRDefault="0085780C" w:rsidP="006A057D">
            <w:pPr>
              <w:spacing w:before="120"/>
              <w:jc w:val="center"/>
              <w:rPr>
                <w:rFonts w:ascii="Arial" w:hAnsi="Arial" w:cs="Arial"/>
                <w:b/>
                <w:sz w:val="16"/>
              </w:rPr>
            </w:pPr>
            <w:r w:rsidRPr="00F63A5B">
              <w:rPr>
                <w:rFonts w:ascii="Arial" w:hAnsi="Arial" w:cs="Arial"/>
                <w:b/>
                <w:sz w:val="16"/>
              </w:rPr>
              <w:t>(</w:t>
            </w:r>
            <w:r w:rsidR="00FB7041">
              <w:rPr>
                <w:rFonts w:ascii="Arial" w:hAnsi="Arial" w:cs="Arial"/>
                <w:b/>
                <w:sz w:val="16"/>
              </w:rPr>
              <w:t>5</w:t>
            </w:r>
            <w:r w:rsidRPr="00F63A5B">
              <w:rPr>
                <w:rFonts w:ascii="Arial" w:hAnsi="Arial" w:cs="Arial"/>
                <w:b/>
                <w:sz w:val="16"/>
              </w:rPr>
              <w:t>%)</w:t>
            </w:r>
          </w:p>
        </w:tc>
        <w:tc>
          <w:tcPr>
            <w:tcW w:w="270" w:type="dxa"/>
            <w:vMerge/>
            <w:tcBorders>
              <w:left w:val="single" w:sz="12" w:space="0" w:color="auto"/>
              <w:bottom w:val="single" w:sz="2" w:space="0" w:color="auto"/>
              <w:right w:val="single" w:sz="2" w:space="0" w:color="auto"/>
            </w:tcBorders>
            <w:textDirection w:val="btLr"/>
          </w:tcPr>
          <w:p w:rsidR="0085780C" w:rsidRPr="0072590A" w:rsidRDefault="0085780C" w:rsidP="00A16461">
            <w:pPr>
              <w:ind w:right="58"/>
              <w:jc w:val="right"/>
              <w:rPr>
                <w:rFonts w:ascii="Arial" w:hAnsi="Arial" w:cs="Arial"/>
                <w:i/>
                <w:sz w:val="16"/>
              </w:rPr>
            </w:pPr>
          </w:p>
        </w:tc>
        <w:tc>
          <w:tcPr>
            <w:tcW w:w="3960" w:type="dxa"/>
            <w:tcBorders>
              <w:left w:val="single" w:sz="2" w:space="0" w:color="auto"/>
              <w:bottom w:val="single" w:sz="4" w:space="0" w:color="auto"/>
            </w:tcBorders>
          </w:tcPr>
          <w:p w:rsidR="0085780C" w:rsidRPr="0072590A" w:rsidRDefault="0085780C" w:rsidP="00EF0A2C">
            <w:pPr>
              <w:spacing w:before="60"/>
              <w:rPr>
                <w:rFonts w:ascii="Arial" w:hAnsi="Arial" w:cs="Arial"/>
                <w:sz w:val="16"/>
              </w:rPr>
            </w:pPr>
          </w:p>
        </w:tc>
        <w:tc>
          <w:tcPr>
            <w:tcW w:w="1080" w:type="dxa"/>
            <w:tcBorders>
              <w:bottom w:val="single" w:sz="4" w:space="0" w:color="auto"/>
            </w:tcBorders>
          </w:tcPr>
          <w:p w:rsidR="0085780C" w:rsidRPr="0072590A" w:rsidRDefault="0085780C" w:rsidP="0096795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3339D4">
            <w:pPr>
              <w:spacing w:before="60"/>
              <w:jc w:val="center"/>
              <w:rPr>
                <w:rFonts w:ascii="Arial" w:hAnsi="Arial" w:cs="Arial"/>
                <w:b/>
                <w:sz w:val="16"/>
              </w:rPr>
            </w:pPr>
          </w:p>
        </w:tc>
      </w:tr>
      <w:tr w:rsidR="0085780C" w:rsidTr="00B4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tcBorders>
              <w:top w:val="single" w:sz="4" w:space="0" w:color="auto"/>
              <w:left w:val="single" w:sz="18" w:space="0" w:color="auto"/>
              <w:right w:val="nil"/>
            </w:tcBorders>
            <w:textDirection w:val="btLr"/>
          </w:tcPr>
          <w:p w:rsidR="0085780C" w:rsidRPr="00782DF6" w:rsidRDefault="0085780C" w:rsidP="00347010">
            <w:pPr>
              <w:rPr>
                <w:rFonts w:ascii="Arial" w:hAnsi="Arial" w:cs="Arial"/>
                <w:i/>
                <w:sz w:val="16"/>
                <w:szCs w:val="16"/>
              </w:rPr>
            </w:pPr>
          </w:p>
        </w:tc>
        <w:tc>
          <w:tcPr>
            <w:tcW w:w="3780" w:type="dxa"/>
            <w:tcBorders>
              <w:left w:val="single" w:sz="4" w:space="0" w:color="auto"/>
            </w:tcBorders>
          </w:tcPr>
          <w:p w:rsidR="0085780C" w:rsidRPr="00293949" w:rsidRDefault="0085780C" w:rsidP="008778C0">
            <w:pPr>
              <w:pStyle w:val="ListParagraph"/>
              <w:numPr>
                <w:ilvl w:val="0"/>
                <w:numId w:val="11"/>
              </w:numPr>
              <w:spacing w:before="120"/>
              <w:rPr>
                <w:rFonts w:ascii="Arial" w:hAnsi="Arial" w:cs="Arial"/>
                <w:sz w:val="16"/>
                <w:szCs w:val="16"/>
              </w:rPr>
            </w:pPr>
            <w:r>
              <w:rPr>
                <w:rFonts w:ascii="Arial" w:hAnsi="Arial" w:cs="Arial"/>
                <w:sz w:val="16"/>
              </w:rPr>
              <w:t>General ledger accounts reconciled</w:t>
            </w:r>
          </w:p>
        </w:tc>
        <w:tc>
          <w:tcPr>
            <w:tcW w:w="990" w:type="dxa"/>
          </w:tcPr>
          <w:p w:rsidR="0085780C" w:rsidRPr="0072590A" w:rsidRDefault="0085780C" w:rsidP="006A057D">
            <w:pPr>
              <w:spacing w:before="120"/>
              <w:jc w:val="center"/>
              <w:rPr>
                <w:rFonts w:ascii="Arial" w:hAnsi="Arial" w:cs="Arial"/>
                <w:sz w:val="16"/>
              </w:rPr>
            </w:pPr>
            <w:r>
              <w:rPr>
                <w:rFonts w:ascii="Arial" w:hAnsi="Arial" w:cs="Arial"/>
                <w:sz w:val="16"/>
              </w:rPr>
              <w:t>9</w:t>
            </w:r>
            <w:r w:rsidR="00FB7041">
              <w:rPr>
                <w:rFonts w:ascii="Arial" w:hAnsi="Arial" w:cs="Arial"/>
                <w:sz w:val="16"/>
              </w:rPr>
              <w:t>7</w:t>
            </w:r>
            <w:r>
              <w:rPr>
                <w:rFonts w:ascii="Arial" w:hAnsi="Arial" w:cs="Arial"/>
                <w:sz w:val="16"/>
              </w:rPr>
              <w:t>%</w:t>
            </w:r>
          </w:p>
        </w:tc>
        <w:tc>
          <w:tcPr>
            <w:tcW w:w="990" w:type="dxa"/>
            <w:tcBorders>
              <w:right w:val="single" w:sz="12" w:space="0" w:color="auto"/>
            </w:tcBorders>
          </w:tcPr>
          <w:p w:rsidR="0085780C" w:rsidRPr="0072590A" w:rsidRDefault="0085780C" w:rsidP="0073740D">
            <w:pPr>
              <w:spacing w:beforeLines="60" w:before="144"/>
              <w:jc w:val="center"/>
              <w:rPr>
                <w:rFonts w:ascii="Arial" w:hAnsi="Arial" w:cs="Arial"/>
                <w:sz w:val="16"/>
              </w:rPr>
            </w:pPr>
            <w:r>
              <w:rPr>
                <w:rFonts w:ascii="Arial" w:hAnsi="Arial" w:cs="Arial"/>
                <w:sz w:val="16"/>
              </w:rPr>
              <w:t>100%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73740D">
            <w:pPr>
              <w:spacing w:beforeLines="60" w:before="144"/>
              <w:jc w:val="center"/>
              <w:rPr>
                <w:rFonts w:ascii="Arial" w:hAnsi="Arial" w:cs="Arial"/>
                <w:b/>
                <w:sz w:val="16"/>
              </w:rPr>
            </w:pPr>
            <w:r w:rsidRPr="001F406F">
              <w:rPr>
                <w:rFonts w:ascii="Arial" w:hAnsi="Arial" w:cs="Arial"/>
                <w:b/>
                <w:sz w:val="16"/>
              </w:rPr>
              <w:t>(</w:t>
            </w:r>
            <w:r w:rsidR="00FB7041">
              <w:rPr>
                <w:rFonts w:ascii="Arial" w:hAnsi="Arial" w:cs="Arial"/>
                <w:b/>
                <w:sz w:val="16"/>
              </w:rPr>
              <w:t>3</w:t>
            </w:r>
            <w:r w:rsidRPr="001F406F">
              <w:rPr>
                <w:rFonts w:ascii="Arial" w:hAnsi="Arial" w:cs="Arial"/>
                <w:b/>
                <w:sz w:val="16"/>
              </w:rPr>
              <w:t>%</w:t>
            </w:r>
            <w:r w:rsidR="00FB7041">
              <w:rPr>
                <w:rFonts w:ascii="Arial" w:hAnsi="Arial" w:cs="Arial"/>
                <w:b/>
                <w:sz w:val="16"/>
              </w:rPr>
              <w:t>)</w:t>
            </w:r>
          </w:p>
        </w:tc>
        <w:tc>
          <w:tcPr>
            <w:tcW w:w="270" w:type="dxa"/>
            <w:tcBorders>
              <w:top w:val="single" w:sz="2" w:space="0" w:color="auto"/>
              <w:left w:val="single" w:sz="12" w:space="0" w:color="auto"/>
              <w:right w:val="single" w:sz="2" w:space="0" w:color="auto"/>
            </w:tcBorders>
          </w:tcPr>
          <w:p w:rsidR="0085780C" w:rsidRPr="0072590A" w:rsidRDefault="0085780C" w:rsidP="00A16461">
            <w:pPr>
              <w:pStyle w:val="BodyText2"/>
              <w:rPr>
                <w:rFonts w:cs="Arial"/>
                <w:i w:val="0"/>
              </w:rPr>
            </w:pPr>
          </w:p>
          <w:p w:rsidR="0085780C" w:rsidRPr="0072590A" w:rsidRDefault="0085780C" w:rsidP="00DF59CF">
            <w:pPr>
              <w:rPr>
                <w:rFonts w:ascii="Arial" w:hAnsi="Arial" w:cs="Arial"/>
                <w:sz w:val="16"/>
              </w:rPr>
            </w:pPr>
          </w:p>
        </w:tc>
        <w:tc>
          <w:tcPr>
            <w:tcW w:w="3960" w:type="dxa"/>
            <w:tcBorders>
              <w:left w:val="single" w:sz="2" w:space="0" w:color="auto"/>
            </w:tcBorders>
          </w:tcPr>
          <w:p w:rsidR="0085780C" w:rsidRPr="0072590A" w:rsidRDefault="0085780C" w:rsidP="00671344">
            <w:pPr>
              <w:spacing w:before="60"/>
              <w:rPr>
                <w:rFonts w:ascii="Arial" w:hAnsi="Arial" w:cs="Arial"/>
                <w:sz w:val="16"/>
              </w:rPr>
            </w:pPr>
          </w:p>
        </w:tc>
        <w:tc>
          <w:tcPr>
            <w:tcW w:w="1080" w:type="dxa"/>
          </w:tcPr>
          <w:p w:rsidR="0085780C" w:rsidRPr="0072590A" w:rsidRDefault="0085780C" w:rsidP="009634B2">
            <w:pPr>
              <w:spacing w:before="40"/>
              <w:jc w:val="center"/>
              <w:rPr>
                <w:rFonts w:ascii="Arial" w:hAnsi="Arial" w:cs="Arial"/>
                <w:sz w:val="16"/>
              </w:rPr>
            </w:pPr>
          </w:p>
        </w:tc>
        <w:tc>
          <w:tcPr>
            <w:tcW w:w="990" w:type="dxa"/>
            <w:tcBorders>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right w:val="single" w:sz="18" w:space="0" w:color="auto"/>
            </w:tcBorders>
            <w:shd w:val="clear" w:color="auto" w:fill="auto"/>
          </w:tcPr>
          <w:p w:rsidR="0085780C" w:rsidRPr="0072590A" w:rsidRDefault="0085780C" w:rsidP="00A87B4C">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70" w:type="dxa"/>
            <w:tcBorders>
              <w:left w:val="single" w:sz="18" w:space="0" w:color="auto"/>
              <w:bottom w:val="single" w:sz="4" w:space="0" w:color="auto"/>
              <w:right w:val="nil"/>
            </w:tcBorders>
            <w:textDirection w:val="btLr"/>
          </w:tcPr>
          <w:p w:rsidR="0085780C" w:rsidRDefault="0085780C" w:rsidP="00F3792A">
            <w:pPr>
              <w:ind w:left="113" w:right="58"/>
              <w:rPr>
                <w:rFonts w:ascii="Arial" w:hAnsi="Arial" w:cs="Arial"/>
                <w:i/>
                <w:sz w:val="16"/>
                <w:szCs w:val="16"/>
              </w:rPr>
            </w:pPr>
          </w:p>
        </w:tc>
        <w:tc>
          <w:tcPr>
            <w:tcW w:w="3780" w:type="dxa"/>
            <w:tcBorders>
              <w:left w:val="single" w:sz="4" w:space="0" w:color="auto"/>
              <w:bottom w:val="single" w:sz="4" w:space="0" w:color="auto"/>
            </w:tcBorders>
          </w:tcPr>
          <w:p w:rsidR="0085780C" w:rsidRPr="0085780C" w:rsidRDefault="0085780C" w:rsidP="008778C0">
            <w:pPr>
              <w:pStyle w:val="ListParagraph"/>
              <w:numPr>
                <w:ilvl w:val="0"/>
                <w:numId w:val="11"/>
              </w:numPr>
              <w:spacing w:before="120"/>
              <w:rPr>
                <w:rFonts w:ascii="Arial" w:hAnsi="Arial" w:cs="Arial"/>
                <w:sz w:val="16"/>
              </w:rPr>
            </w:pPr>
            <w:r w:rsidRPr="0085780C">
              <w:rPr>
                <w:rFonts w:ascii="Arial" w:hAnsi="Arial" w:cs="Arial"/>
                <w:sz w:val="16"/>
              </w:rPr>
              <w:t>Financial Accounting  effectiveness (process improvement)</w:t>
            </w:r>
          </w:p>
        </w:tc>
        <w:tc>
          <w:tcPr>
            <w:tcW w:w="990" w:type="dxa"/>
            <w:tcBorders>
              <w:bottom w:val="single" w:sz="4" w:space="0" w:color="auto"/>
            </w:tcBorders>
          </w:tcPr>
          <w:p w:rsidR="0085780C" w:rsidRPr="0072590A" w:rsidRDefault="006A057D" w:rsidP="0073740D">
            <w:pPr>
              <w:spacing w:beforeLines="60" w:before="144"/>
              <w:jc w:val="center"/>
              <w:rPr>
                <w:rFonts w:ascii="Arial" w:hAnsi="Arial" w:cs="Arial"/>
                <w:sz w:val="16"/>
              </w:rPr>
            </w:pPr>
            <w:r>
              <w:rPr>
                <w:rFonts w:ascii="Arial" w:hAnsi="Arial" w:cs="Arial"/>
                <w:sz w:val="16"/>
              </w:rPr>
              <w:t>4.</w:t>
            </w:r>
            <w:r w:rsidR="00FB7041">
              <w:rPr>
                <w:rFonts w:ascii="Arial" w:hAnsi="Arial" w:cs="Arial"/>
                <w:sz w:val="16"/>
              </w:rPr>
              <w:t>7</w:t>
            </w:r>
          </w:p>
        </w:tc>
        <w:tc>
          <w:tcPr>
            <w:tcW w:w="990" w:type="dxa"/>
            <w:tcBorders>
              <w:bottom w:val="single" w:sz="4" w:space="0" w:color="auto"/>
              <w:right w:val="single" w:sz="12" w:space="0" w:color="auto"/>
            </w:tcBorders>
          </w:tcPr>
          <w:p w:rsidR="0085780C" w:rsidRPr="0072590A" w:rsidRDefault="0085780C" w:rsidP="0073740D">
            <w:pPr>
              <w:spacing w:beforeLines="60" w:before="144"/>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73740D">
            <w:pPr>
              <w:spacing w:beforeLines="60" w:before="144"/>
              <w:jc w:val="center"/>
              <w:rPr>
                <w:rFonts w:ascii="Arial" w:hAnsi="Arial" w:cs="Arial"/>
                <w:sz w:val="16"/>
              </w:rPr>
            </w:pPr>
            <w:r>
              <w:rPr>
                <w:rFonts w:ascii="Arial" w:hAnsi="Arial" w:cs="Arial"/>
                <w:sz w:val="16"/>
              </w:rPr>
              <w:t>No Gap</w:t>
            </w:r>
          </w:p>
        </w:tc>
        <w:tc>
          <w:tcPr>
            <w:tcW w:w="270" w:type="dxa"/>
            <w:tcBorders>
              <w:left w:val="single" w:sz="12" w:space="0" w:color="auto"/>
              <w:bottom w:val="single" w:sz="4" w:space="0" w:color="auto"/>
              <w:right w:val="single" w:sz="2" w:space="0" w:color="auto"/>
            </w:tcBorders>
          </w:tcPr>
          <w:p w:rsidR="0085780C" w:rsidRPr="0072590A" w:rsidRDefault="0085780C" w:rsidP="00A16461">
            <w:pPr>
              <w:pStyle w:val="BodyText2"/>
              <w:rPr>
                <w:rFonts w:cs="Arial"/>
                <w:i w:val="0"/>
              </w:rPr>
            </w:pPr>
          </w:p>
        </w:tc>
        <w:tc>
          <w:tcPr>
            <w:tcW w:w="3960" w:type="dxa"/>
            <w:tcBorders>
              <w:left w:val="single" w:sz="2" w:space="0" w:color="auto"/>
              <w:bottom w:val="single" w:sz="4" w:space="0" w:color="auto"/>
            </w:tcBorders>
          </w:tcPr>
          <w:p w:rsidR="0085780C" w:rsidRPr="0072590A" w:rsidRDefault="0085780C" w:rsidP="00A16461">
            <w:pPr>
              <w:spacing w:before="60"/>
              <w:rPr>
                <w:rFonts w:ascii="Arial" w:hAnsi="Arial" w:cs="Arial"/>
                <w:sz w:val="16"/>
              </w:rPr>
            </w:pPr>
          </w:p>
        </w:tc>
        <w:tc>
          <w:tcPr>
            <w:tcW w:w="1080" w:type="dxa"/>
            <w:tcBorders>
              <w:bottom w:val="single" w:sz="4" w:space="0" w:color="auto"/>
            </w:tcBorders>
          </w:tcPr>
          <w:p w:rsidR="0085780C" w:rsidRPr="0072590A" w:rsidRDefault="0085780C" w:rsidP="00790BE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A16461">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0462F8"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270" w:type="dxa"/>
            <w:tcBorders>
              <w:left w:val="single" w:sz="18" w:space="0" w:color="auto"/>
              <w:bottom w:val="single" w:sz="18" w:space="0" w:color="auto"/>
              <w:right w:val="nil"/>
            </w:tcBorders>
            <w:textDirection w:val="btLr"/>
          </w:tcPr>
          <w:p w:rsidR="000462F8" w:rsidRDefault="000462F8" w:rsidP="00F3792A">
            <w:pPr>
              <w:ind w:left="113" w:right="58"/>
              <w:rPr>
                <w:rFonts w:ascii="Arial" w:hAnsi="Arial" w:cs="Arial"/>
                <w:i/>
                <w:sz w:val="16"/>
                <w:szCs w:val="16"/>
              </w:rPr>
            </w:pPr>
          </w:p>
        </w:tc>
        <w:tc>
          <w:tcPr>
            <w:tcW w:w="3780" w:type="dxa"/>
            <w:tcBorders>
              <w:left w:val="single" w:sz="4" w:space="0" w:color="auto"/>
              <w:bottom w:val="single" w:sz="18" w:space="0" w:color="auto"/>
            </w:tcBorders>
          </w:tcPr>
          <w:p w:rsidR="000462F8" w:rsidRPr="00D40450" w:rsidRDefault="000462F8" w:rsidP="00050C4F">
            <w:pPr>
              <w:pStyle w:val="ListParagraph"/>
              <w:numPr>
                <w:ilvl w:val="0"/>
                <w:numId w:val="12"/>
              </w:numPr>
              <w:spacing w:before="120"/>
              <w:rPr>
                <w:rFonts w:ascii="Arial" w:hAnsi="Arial" w:cs="Arial"/>
                <w:sz w:val="16"/>
              </w:rPr>
            </w:pPr>
            <w:r w:rsidRPr="00D40450">
              <w:rPr>
                <w:rFonts w:ascii="Arial" w:hAnsi="Arial" w:cs="Arial"/>
                <w:sz w:val="16"/>
              </w:rPr>
              <w:t xml:space="preserve">Dollar amount of </w:t>
            </w:r>
            <w:r w:rsidR="00050C4F">
              <w:rPr>
                <w:rFonts w:ascii="Arial" w:hAnsi="Arial" w:cs="Arial"/>
                <w:sz w:val="16"/>
              </w:rPr>
              <w:t>unmatched receipts</w:t>
            </w:r>
          </w:p>
        </w:tc>
        <w:tc>
          <w:tcPr>
            <w:tcW w:w="990" w:type="dxa"/>
            <w:tcBorders>
              <w:bottom w:val="single" w:sz="18" w:space="0" w:color="auto"/>
            </w:tcBorders>
          </w:tcPr>
          <w:p w:rsidR="000462F8" w:rsidRPr="0072590A" w:rsidRDefault="000462F8" w:rsidP="006A057D">
            <w:pPr>
              <w:spacing w:before="120"/>
              <w:jc w:val="center"/>
              <w:rPr>
                <w:rFonts w:ascii="Arial" w:hAnsi="Arial" w:cs="Arial"/>
                <w:sz w:val="16"/>
              </w:rPr>
            </w:pPr>
            <w:r w:rsidRPr="00CA7342">
              <w:rPr>
                <w:rFonts w:ascii="Arial" w:hAnsi="Arial" w:cs="Arial"/>
                <w:sz w:val="16"/>
              </w:rPr>
              <w:t>$</w:t>
            </w:r>
            <w:r w:rsidR="00CA7342" w:rsidRPr="00CA7342">
              <w:rPr>
                <w:rFonts w:ascii="Arial" w:hAnsi="Arial" w:cs="Arial"/>
                <w:sz w:val="16"/>
              </w:rPr>
              <w:t>88</w:t>
            </w:r>
            <w:r w:rsidRPr="00CA7342">
              <w:rPr>
                <w:rFonts w:ascii="Arial" w:hAnsi="Arial" w:cs="Arial"/>
                <w:sz w:val="16"/>
              </w:rPr>
              <w:t>M</w:t>
            </w:r>
          </w:p>
        </w:tc>
        <w:tc>
          <w:tcPr>
            <w:tcW w:w="990" w:type="dxa"/>
            <w:tcBorders>
              <w:bottom w:val="single" w:sz="18" w:space="0" w:color="auto"/>
              <w:right w:val="single" w:sz="12" w:space="0" w:color="auto"/>
            </w:tcBorders>
            <w:shd w:val="clear" w:color="auto" w:fill="auto"/>
          </w:tcPr>
          <w:p w:rsidR="000462F8" w:rsidRPr="0072590A" w:rsidRDefault="00B07187" w:rsidP="00B07187">
            <w:pPr>
              <w:spacing w:before="120"/>
              <w:jc w:val="center"/>
              <w:rPr>
                <w:rFonts w:ascii="Arial" w:hAnsi="Arial" w:cs="Arial"/>
                <w:sz w:val="16"/>
              </w:rPr>
            </w:pPr>
            <w:r>
              <w:rPr>
                <w:rFonts w:ascii="Arial" w:hAnsi="Arial" w:cs="Arial"/>
                <w:sz w:val="16"/>
              </w:rPr>
              <w:t>In Process</w:t>
            </w:r>
          </w:p>
        </w:tc>
        <w:tc>
          <w:tcPr>
            <w:tcW w:w="990" w:type="dxa"/>
            <w:tcBorders>
              <w:top w:val="single" w:sz="4" w:space="0" w:color="auto"/>
              <w:left w:val="single" w:sz="12" w:space="0" w:color="auto"/>
              <w:bottom w:val="single" w:sz="18" w:space="0" w:color="auto"/>
              <w:right w:val="single" w:sz="12" w:space="0" w:color="auto"/>
            </w:tcBorders>
            <w:shd w:val="clear" w:color="auto" w:fill="auto"/>
          </w:tcPr>
          <w:p w:rsidR="000462F8" w:rsidRPr="0085780C" w:rsidRDefault="000462F8" w:rsidP="000462F8">
            <w:pPr>
              <w:spacing w:before="120"/>
              <w:jc w:val="center"/>
              <w:rPr>
                <w:rFonts w:ascii="Arial" w:hAnsi="Arial" w:cs="Arial"/>
                <w:b/>
                <w:sz w:val="16"/>
              </w:rPr>
            </w:pPr>
          </w:p>
        </w:tc>
        <w:tc>
          <w:tcPr>
            <w:tcW w:w="270" w:type="dxa"/>
            <w:tcBorders>
              <w:left w:val="single" w:sz="12" w:space="0" w:color="auto"/>
              <w:bottom w:val="single" w:sz="18" w:space="0" w:color="auto"/>
              <w:right w:val="single" w:sz="2" w:space="0" w:color="auto"/>
            </w:tcBorders>
          </w:tcPr>
          <w:p w:rsidR="000462F8" w:rsidRPr="0072590A" w:rsidRDefault="000462F8" w:rsidP="00A16461">
            <w:pPr>
              <w:pStyle w:val="BodyText2"/>
              <w:rPr>
                <w:rFonts w:cs="Arial"/>
                <w:i w:val="0"/>
              </w:rPr>
            </w:pPr>
          </w:p>
        </w:tc>
        <w:tc>
          <w:tcPr>
            <w:tcW w:w="3960" w:type="dxa"/>
            <w:tcBorders>
              <w:left w:val="single" w:sz="2" w:space="0" w:color="auto"/>
              <w:bottom w:val="single" w:sz="18" w:space="0" w:color="auto"/>
            </w:tcBorders>
          </w:tcPr>
          <w:p w:rsidR="000462F8" w:rsidRPr="0072590A" w:rsidRDefault="000462F8" w:rsidP="00A16461">
            <w:pPr>
              <w:spacing w:before="60"/>
              <w:rPr>
                <w:rFonts w:ascii="Arial" w:hAnsi="Arial" w:cs="Arial"/>
                <w:sz w:val="16"/>
              </w:rPr>
            </w:pPr>
          </w:p>
        </w:tc>
        <w:tc>
          <w:tcPr>
            <w:tcW w:w="1080" w:type="dxa"/>
            <w:tcBorders>
              <w:bottom w:val="single" w:sz="18" w:space="0" w:color="auto"/>
            </w:tcBorders>
          </w:tcPr>
          <w:p w:rsidR="000462F8" w:rsidRPr="0072590A" w:rsidRDefault="000462F8" w:rsidP="00790BE8">
            <w:pPr>
              <w:spacing w:before="40"/>
              <w:jc w:val="center"/>
              <w:rPr>
                <w:rFonts w:ascii="Arial" w:hAnsi="Arial" w:cs="Arial"/>
                <w:sz w:val="16"/>
              </w:rPr>
            </w:pPr>
          </w:p>
        </w:tc>
        <w:tc>
          <w:tcPr>
            <w:tcW w:w="990" w:type="dxa"/>
            <w:tcBorders>
              <w:bottom w:val="single" w:sz="18" w:space="0" w:color="auto"/>
              <w:right w:val="single" w:sz="12" w:space="0" w:color="auto"/>
            </w:tcBorders>
          </w:tcPr>
          <w:p w:rsidR="000462F8" w:rsidRPr="0072590A" w:rsidRDefault="000462F8" w:rsidP="00A16461">
            <w:pPr>
              <w:spacing w:before="60"/>
              <w:jc w:val="center"/>
              <w:rPr>
                <w:rFonts w:ascii="Arial" w:hAnsi="Arial" w:cs="Arial"/>
                <w:sz w:val="16"/>
              </w:rPr>
            </w:pPr>
          </w:p>
        </w:tc>
        <w:tc>
          <w:tcPr>
            <w:tcW w:w="900" w:type="dxa"/>
            <w:tcBorders>
              <w:left w:val="single" w:sz="12" w:space="0" w:color="auto"/>
              <w:bottom w:val="single" w:sz="18" w:space="0" w:color="auto"/>
              <w:right w:val="single" w:sz="18" w:space="0" w:color="auto"/>
            </w:tcBorders>
            <w:shd w:val="clear" w:color="auto" w:fill="auto"/>
          </w:tcPr>
          <w:p w:rsidR="000462F8" w:rsidRPr="0072590A" w:rsidRDefault="000462F8" w:rsidP="00A16461">
            <w:pPr>
              <w:spacing w:before="60"/>
              <w:jc w:val="center"/>
              <w:rPr>
                <w:rFonts w:ascii="Arial" w:hAnsi="Arial" w:cs="Arial"/>
                <w:b/>
                <w:sz w:val="16"/>
              </w:rPr>
            </w:pPr>
          </w:p>
        </w:tc>
      </w:tr>
      <w:bookmarkEnd w:id="1"/>
    </w:tbl>
    <w:p w:rsidR="002F1DB6" w:rsidRDefault="002F1DB6" w:rsidP="009A0450">
      <w:pPr>
        <w:ind w:left="360"/>
        <w:jc w:val="center"/>
        <w:rPr>
          <w:rFonts w:ascii="Arial" w:hAnsi="Arial" w:cs="Arial"/>
          <w:b/>
          <w:sz w:val="32"/>
          <w:szCs w:val="32"/>
        </w:rPr>
      </w:pPr>
    </w:p>
    <w:p w:rsidR="00C10EDE" w:rsidRDefault="00C10EDE" w:rsidP="00BC0C94">
      <w:pPr>
        <w:ind w:left="360"/>
        <w:jc w:val="center"/>
        <w:rPr>
          <w:rFonts w:ascii="Arial" w:hAnsi="Arial" w:cs="Arial"/>
          <w:b/>
          <w:sz w:val="32"/>
          <w:szCs w:val="32"/>
        </w:rPr>
      </w:pPr>
    </w:p>
    <w:p w:rsidR="00BC0C94" w:rsidRDefault="00BC0C94" w:rsidP="00BC0C94">
      <w:pPr>
        <w:ind w:left="360"/>
        <w:jc w:val="center"/>
        <w:rPr>
          <w:rFonts w:ascii="Arial" w:hAnsi="Arial" w:cs="Arial"/>
          <w:b/>
          <w:sz w:val="32"/>
          <w:szCs w:val="32"/>
        </w:rPr>
      </w:pPr>
      <w:r>
        <w:rPr>
          <w:rFonts w:ascii="Arial" w:hAnsi="Arial" w:cs="Arial"/>
          <w:b/>
          <w:sz w:val="32"/>
          <w:szCs w:val="32"/>
        </w:rPr>
        <w:t>It</w:t>
      </w:r>
      <w:r w:rsidRPr="00537294">
        <w:rPr>
          <w:rFonts w:ascii="Arial" w:hAnsi="Arial" w:cs="Arial"/>
          <w:b/>
          <w:sz w:val="32"/>
          <w:szCs w:val="32"/>
        </w:rPr>
        <w:t xml:space="preserve">em # </w:t>
      </w:r>
      <w:r>
        <w:rPr>
          <w:rFonts w:ascii="Arial" w:hAnsi="Arial" w:cs="Arial"/>
          <w:b/>
          <w:sz w:val="32"/>
          <w:szCs w:val="32"/>
        </w:rPr>
        <w:t>1</w:t>
      </w:r>
      <w:r w:rsidRPr="00537294">
        <w:rPr>
          <w:rFonts w:ascii="Arial" w:hAnsi="Arial" w:cs="Arial"/>
          <w:b/>
          <w:sz w:val="32"/>
          <w:szCs w:val="32"/>
        </w:rPr>
        <w:t xml:space="preserve">:  </w:t>
      </w:r>
      <w:r w:rsidR="00EF2957">
        <w:rPr>
          <w:rFonts w:ascii="Arial" w:hAnsi="Arial" w:cs="Arial"/>
          <w:b/>
          <w:sz w:val="32"/>
          <w:szCs w:val="32"/>
        </w:rPr>
        <w:t>Annual Report Completion Time</w:t>
      </w:r>
    </w:p>
    <w:p w:rsidR="00BC0C94" w:rsidRDefault="00BC0C94" w:rsidP="007F2153">
      <w:pPr>
        <w:ind w:left="360"/>
        <w:jc w:val="center"/>
        <w:rPr>
          <w:rFonts w:ascii="Arial" w:hAnsi="Arial" w:cs="Arial"/>
          <w:b/>
          <w:sz w:val="32"/>
          <w:szCs w:val="32"/>
        </w:rPr>
      </w:pPr>
    </w:p>
    <w:tbl>
      <w:tblPr>
        <w:tblStyle w:val="TableGrid"/>
        <w:tblW w:w="14328" w:type="dxa"/>
        <w:tblLook w:val="01E0" w:firstRow="1" w:lastRow="1" w:firstColumn="1" w:lastColumn="1" w:noHBand="0" w:noVBand="0"/>
      </w:tblPr>
      <w:tblGrid>
        <w:gridCol w:w="11337"/>
        <w:gridCol w:w="2991"/>
      </w:tblGrid>
      <w:tr w:rsidR="00F63342" w:rsidTr="00F63342">
        <w:trPr>
          <w:trHeight w:val="7885"/>
        </w:trPr>
        <w:tc>
          <w:tcPr>
            <w:tcW w:w="10548" w:type="dxa"/>
          </w:tcPr>
          <w:p w:rsidR="00F63342" w:rsidRDefault="001B1EAE" w:rsidP="00B27FF5">
            <w:pPr>
              <w:rPr>
                <w:rFonts w:ascii="Arial" w:hAnsi="Arial"/>
                <w:b/>
                <w:sz w:val="32"/>
              </w:rPr>
            </w:pPr>
            <w:r w:rsidRPr="00025371">
              <w:rPr>
                <w:rFonts w:ascii="Arial" w:hAnsi="Arial"/>
                <w:b/>
                <w:sz w:val="32"/>
                <w:highlight w:val="yellow"/>
              </w:rPr>
              <w:object w:dxaOrig="12301" w:dyaOrig="7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75pt;height:402pt" o:ole="">
                  <v:imagedata r:id="rId12" o:title=""/>
                </v:shape>
                <o:OLEObject Type="Link" ProgID="Excel.Sheet.12" ShapeID="_x0000_i1025" DrawAspect="Content" r:id="rId13" UpdateMode="Always">
                  <o:LinkType>EnhancedMetaFile</o:LinkType>
                  <o:LockedField>false</o:LockedField>
                </o:OLEObject>
              </w:object>
            </w:r>
          </w:p>
          <w:p w:rsidR="00320658" w:rsidRPr="00537294" w:rsidRDefault="00320658" w:rsidP="00B27FF5">
            <w:pPr>
              <w:rPr>
                <w:rFonts w:ascii="Arial" w:hAnsi="Arial"/>
                <w:b/>
                <w:sz w:val="32"/>
              </w:rPr>
            </w:pPr>
          </w:p>
        </w:tc>
        <w:tc>
          <w:tcPr>
            <w:tcW w:w="3780" w:type="dxa"/>
          </w:tcPr>
          <w:p w:rsidR="00F63342" w:rsidRPr="00D35D4B" w:rsidRDefault="00F63342" w:rsidP="00B27FF5">
            <w:pPr>
              <w:rPr>
                <w:rFonts w:ascii="Arial" w:hAnsi="Arial" w:cs="Arial"/>
                <w:b/>
                <w:bCs/>
                <w:sz w:val="18"/>
                <w:szCs w:val="18"/>
                <w:u w:val="single"/>
              </w:rPr>
            </w:pPr>
          </w:p>
          <w:p w:rsidR="003F5562" w:rsidRPr="003F5562" w:rsidRDefault="00F63342" w:rsidP="003F5562">
            <w:pPr>
              <w:pStyle w:val="NoSpacing"/>
              <w:rPr>
                <w:rFonts w:ascii="Arial" w:hAnsi="Arial" w:cs="Arial"/>
                <w:b/>
                <w:sz w:val="18"/>
                <w:szCs w:val="18"/>
                <w:u w:val="single"/>
              </w:rPr>
            </w:pPr>
            <w:r w:rsidRPr="003F5562">
              <w:rPr>
                <w:rFonts w:ascii="Arial" w:hAnsi="Arial" w:cs="Arial"/>
                <w:b/>
                <w:sz w:val="18"/>
                <w:szCs w:val="18"/>
                <w:u w:val="single"/>
              </w:rPr>
              <w:t>D</w:t>
            </w:r>
            <w:r w:rsidR="00D35D4B" w:rsidRPr="003F5562">
              <w:rPr>
                <w:rFonts w:ascii="Arial" w:hAnsi="Arial" w:cs="Arial"/>
                <w:b/>
                <w:sz w:val="18"/>
                <w:szCs w:val="18"/>
                <w:u w:val="single"/>
              </w:rPr>
              <w:t>EFINITION</w:t>
            </w:r>
            <w:r w:rsidR="00B35B6F" w:rsidRPr="003F5562">
              <w:rPr>
                <w:rFonts w:ascii="Arial" w:hAnsi="Arial" w:cs="Arial"/>
                <w:b/>
                <w:sz w:val="18"/>
                <w:szCs w:val="18"/>
                <w:u w:val="single"/>
              </w:rPr>
              <w:t xml:space="preserve">:  </w:t>
            </w:r>
          </w:p>
          <w:p w:rsidR="00B35B6F" w:rsidRDefault="00B35B6F" w:rsidP="00B27FF5">
            <w:pPr>
              <w:spacing w:after="240"/>
              <w:rPr>
                <w:rFonts w:ascii="Arial" w:hAnsi="Arial"/>
                <w:sz w:val="18"/>
                <w:szCs w:val="18"/>
              </w:rPr>
            </w:pPr>
            <w:r>
              <w:rPr>
                <w:rFonts w:ascii="Arial" w:hAnsi="Arial"/>
                <w:sz w:val="18"/>
                <w:szCs w:val="18"/>
              </w:rPr>
              <w:t xml:space="preserve">Represents the </w:t>
            </w:r>
            <w:r w:rsidR="003F5562">
              <w:rPr>
                <w:rFonts w:ascii="Arial" w:hAnsi="Arial"/>
                <w:sz w:val="18"/>
                <w:szCs w:val="18"/>
              </w:rPr>
              <w:t>average number of days ahead of (behind) planned completion dates for</w:t>
            </w:r>
            <w:r w:rsidR="005D4F0D">
              <w:rPr>
                <w:rFonts w:ascii="Arial" w:hAnsi="Arial"/>
                <w:sz w:val="18"/>
                <w:szCs w:val="18"/>
              </w:rPr>
              <w:t xml:space="preserve"> the baseline year (2006) </w:t>
            </w:r>
            <w:r w:rsidR="00567A4B">
              <w:rPr>
                <w:rFonts w:ascii="Arial" w:hAnsi="Arial"/>
                <w:sz w:val="18"/>
                <w:szCs w:val="18"/>
              </w:rPr>
              <w:t>e</w:t>
            </w:r>
            <w:r w:rsidR="003F5562">
              <w:rPr>
                <w:rFonts w:ascii="Arial" w:hAnsi="Arial"/>
                <w:sz w:val="18"/>
                <w:szCs w:val="18"/>
              </w:rPr>
              <w:t>ach fiscal year’s Annual Report preparation process.</w:t>
            </w: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A</w:t>
            </w:r>
            <w:r w:rsidR="00D35D4B" w:rsidRPr="00AE2703">
              <w:rPr>
                <w:rFonts w:ascii="Arial" w:hAnsi="Arial" w:cs="Arial"/>
                <w:b/>
                <w:sz w:val="18"/>
                <w:szCs w:val="18"/>
                <w:u w:val="single"/>
              </w:rPr>
              <w:t>NALYSIS</w:t>
            </w:r>
            <w:r w:rsidRPr="00AE2703">
              <w:rPr>
                <w:rFonts w:ascii="Arial" w:hAnsi="Arial" w:cs="Arial"/>
                <w:b/>
                <w:sz w:val="18"/>
                <w:szCs w:val="18"/>
                <w:u w:val="single"/>
              </w:rPr>
              <w:t>:</w:t>
            </w:r>
          </w:p>
          <w:p w:rsidR="005C56D6" w:rsidRDefault="009E1CE4" w:rsidP="00AE2703">
            <w:pPr>
              <w:pStyle w:val="NoSpacing"/>
              <w:rPr>
                <w:rFonts w:ascii="Arial" w:hAnsi="Arial" w:cs="Arial"/>
                <w:sz w:val="18"/>
                <w:szCs w:val="18"/>
              </w:rPr>
            </w:pPr>
            <w:r>
              <w:rPr>
                <w:rFonts w:ascii="Arial" w:hAnsi="Arial" w:cs="Arial"/>
                <w:sz w:val="18"/>
                <w:szCs w:val="18"/>
              </w:rPr>
              <w:t>T</w:t>
            </w:r>
            <w:r w:rsidR="001A6E10">
              <w:rPr>
                <w:rFonts w:ascii="Arial" w:hAnsi="Arial" w:cs="Arial"/>
                <w:sz w:val="18"/>
                <w:szCs w:val="18"/>
              </w:rPr>
              <w:t xml:space="preserve">ime </w:t>
            </w:r>
            <w:r>
              <w:rPr>
                <w:rFonts w:ascii="Arial" w:hAnsi="Arial" w:cs="Arial"/>
                <w:sz w:val="18"/>
                <w:szCs w:val="18"/>
              </w:rPr>
              <w:t xml:space="preserve">spent </w:t>
            </w:r>
            <w:r w:rsidR="001A6E10">
              <w:rPr>
                <w:rFonts w:ascii="Arial" w:hAnsi="Arial" w:cs="Arial"/>
                <w:sz w:val="18"/>
                <w:szCs w:val="18"/>
              </w:rPr>
              <w:t xml:space="preserve">streamlining </w:t>
            </w:r>
            <w:proofErr w:type="gramStart"/>
            <w:r w:rsidR="001A6E10">
              <w:rPr>
                <w:rFonts w:ascii="Arial" w:hAnsi="Arial" w:cs="Arial"/>
                <w:sz w:val="18"/>
                <w:szCs w:val="18"/>
              </w:rPr>
              <w:t>internal processes</w:t>
            </w:r>
            <w:r w:rsidR="005D4F0D">
              <w:rPr>
                <w:rFonts w:ascii="Arial" w:hAnsi="Arial" w:cs="Arial"/>
                <w:sz w:val="18"/>
                <w:szCs w:val="18"/>
              </w:rPr>
              <w:t xml:space="preserve"> has</w:t>
            </w:r>
            <w:proofErr w:type="gramEnd"/>
            <w:r w:rsidR="005D4F0D">
              <w:rPr>
                <w:rFonts w:ascii="Arial" w:hAnsi="Arial" w:cs="Arial"/>
                <w:sz w:val="18"/>
                <w:szCs w:val="18"/>
              </w:rPr>
              <w:t xml:space="preserve"> resulted in improvements in recasting to GASB format</w:t>
            </w:r>
            <w:r w:rsidR="005C56D6">
              <w:rPr>
                <w:rFonts w:ascii="Arial" w:hAnsi="Arial" w:cs="Arial"/>
                <w:sz w:val="18"/>
                <w:szCs w:val="18"/>
              </w:rPr>
              <w:t xml:space="preserve">. </w:t>
            </w:r>
          </w:p>
          <w:p w:rsidR="005C56D6" w:rsidRDefault="005C56D6" w:rsidP="00AE2703">
            <w:pPr>
              <w:pStyle w:val="NoSpacing"/>
              <w:rPr>
                <w:rFonts w:ascii="Arial" w:hAnsi="Arial" w:cs="Arial"/>
                <w:sz w:val="18"/>
                <w:szCs w:val="18"/>
              </w:rPr>
            </w:pPr>
            <w:r>
              <w:rPr>
                <w:rFonts w:ascii="Arial" w:hAnsi="Arial" w:cs="Arial"/>
                <w:sz w:val="18"/>
                <w:szCs w:val="18"/>
              </w:rPr>
              <w:t xml:space="preserve"> </w:t>
            </w:r>
          </w:p>
          <w:p w:rsidR="001A6E10" w:rsidRDefault="005C56D6" w:rsidP="00AE2703">
            <w:pPr>
              <w:pStyle w:val="NoSpacing"/>
              <w:rPr>
                <w:rFonts w:ascii="Arial" w:hAnsi="Arial" w:cs="Arial"/>
                <w:sz w:val="18"/>
                <w:szCs w:val="18"/>
              </w:rPr>
            </w:pPr>
            <w:r>
              <w:rPr>
                <w:rFonts w:ascii="Arial" w:hAnsi="Arial" w:cs="Arial"/>
                <w:sz w:val="18"/>
                <w:szCs w:val="18"/>
              </w:rPr>
              <w:t xml:space="preserve">These improvements have been offset by the impact from implementing seven new accounting standards since fiscal year 2006.  </w:t>
            </w:r>
            <w:r w:rsidR="00E57135">
              <w:rPr>
                <w:rFonts w:ascii="Arial" w:hAnsi="Arial" w:cs="Arial"/>
                <w:sz w:val="18"/>
                <w:szCs w:val="18"/>
              </w:rPr>
              <w:t>N</w:t>
            </w:r>
            <w:r>
              <w:rPr>
                <w:rFonts w:ascii="Arial" w:hAnsi="Arial" w:cs="Arial"/>
                <w:sz w:val="18"/>
                <w:szCs w:val="18"/>
              </w:rPr>
              <w:t xml:space="preserve">ew standards result in additional disclosures and increased testing by KPMG.  </w:t>
            </w:r>
          </w:p>
          <w:p w:rsidR="005C56D6" w:rsidRDefault="005C56D6" w:rsidP="00AE2703">
            <w:pPr>
              <w:pStyle w:val="NoSpacing"/>
              <w:rPr>
                <w:rFonts w:ascii="Arial" w:hAnsi="Arial" w:cs="Arial"/>
                <w:sz w:val="18"/>
                <w:szCs w:val="18"/>
              </w:rPr>
            </w:pPr>
          </w:p>
          <w:p w:rsidR="001A6E10" w:rsidRDefault="00567A4B" w:rsidP="00AE2703">
            <w:pPr>
              <w:pStyle w:val="NoSpacing"/>
              <w:rPr>
                <w:rFonts w:ascii="Arial" w:hAnsi="Arial" w:cs="Arial"/>
                <w:sz w:val="18"/>
                <w:szCs w:val="18"/>
              </w:rPr>
            </w:pPr>
            <w:r>
              <w:rPr>
                <w:rFonts w:ascii="Arial" w:hAnsi="Arial" w:cs="Arial"/>
                <w:sz w:val="18"/>
                <w:szCs w:val="18"/>
              </w:rPr>
              <w:t xml:space="preserve">Delays </w:t>
            </w:r>
            <w:r w:rsidR="009E1CE4">
              <w:rPr>
                <w:rFonts w:ascii="Arial" w:hAnsi="Arial" w:cs="Arial"/>
                <w:sz w:val="18"/>
                <w:szCs w:val="18"/>
              </w:rPr>
              <w:t>on the</w:t>
            </w:r>
            <w:r>
              <w:rPr>
                <w:rFonts w:ascii="Arial" w:hAnsi="Arial" w:cs="Arial"/>
                <w:sz w:val="18"/>
                <w:szCs w:val="18"/>
              </w:rPr>
              <w:t xml:space="preserve"> completion of </w:t>
            </w:r>
            <w:r w:rsidR="0090298A">
              <w:rPr>
                <w:rFonts w:ascii="Arial" w:hAnsi="Arial" w:cs="Arial"/>
                <w:sz w:val="18"/>
                <w:szCs w:val="18"/>
              </w:rPr>
              <w:t>several</w:t>
            </w:r>
            <w:r>
              <w:rPr>
                <w:rFonts w:ascii="Arial" w:hAnsi="Arial" w:cs="Arial"/>
                <w:sz w:val="18"/>
                <w:szCs w:val="18"/>
              </w:rPr>
              <w:t xml:space="preserve"> of audits done on both UW departments and component units</w:t>
            </w:r>
            <w:r w:rsidR="009E1CE4">
              <w:rPr>
                <w:rFonts w:ascii="Arial" w:hAnsi="Arial" w:cs="Arial"/>
                <w:sz w:val="18"/>
                <w:szCs w:val="18"/>
              </w:rPr>
              <w:t xml:space="preserve"> negatively impacted our time of completion</w:t>
            </w:r>
            <w:r w:rsidR="0090298A">
              <w:rPr>
                <w:rFonts w:ascii="Arial" w:hAnsi="Arial" w:cs="Arial"/>
                <w:sz w:val="18"/>
                <w:szCs w:val="18"/>
              </w:rPr>
              <w:t xml:space="preserve"> in 2011</w:t>
            </w:r>
            <w:r>
              <w:rPr>
                <w:rFonts w:ascii="Arial" w:hAnsi="Arial" w:cs="Arial"/>
                <w:sz w:val="18"/>
                <w:szCs w:val="18"/>
              </w:rPr>
              <w:t>.</w:t>
            </w:r>
            <w:r w:rsidR="0090298A">
              <w:rPr>
                <w:rFonts w:ascii="Arial" w:hAnsi="Arial" w:cs="Arial"/>
                <w:sz w:val="18"/>
                <w:szCs w:val="18"/>
              </w:rPr>
              <w:t xml:space="preserve">  </w:t>
            </w:r>
          </w:p>
          <w:p w:rsidR="001A6E10" w:rsidRDefault="001A6E10" w:rsidP="00AE2703">
            <w:pPr>
              <w:pStyle w:val="NoSpacing"/>
              <w:rPr>
                <w:rFonts w:ascii="Arial" w:hAnsi="Arial" w:cs="Arial"/>
                <w:sz w:val="18"/>
                <w:szCs w:val="18"/>
              </w:rPr>
            </w:pPr>
          </w:p>
          <w:p w:rsidR="00AE2703" w:rsidRDefault="00AE2703" w:rsidP="00AE2703">
            <w:pPr>
              <w:pStyle w:val="NoSpacing"/>
              <w:rPr>
                <w:rFonts w:ascii="Arial" w:hAnsi="Arial" w:cs="Arial"/>
                <w:sz w:val="18"/>
                <w:szCs w:val="18"/>
              </w:rPr>
            </w:pP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N</w:t>
            </w:r>
            <w:r w:rsidR="00D35D4B" w:rsidRPr="00AE2703">
              <w:rPr>
                <w:rFonts w:ascii="Arial" w:hAnsi="Arial" w:cs="Arial"/>
                <w:b/>
                <w:sz w:val="18"/>
                <w:szCs w:val="18"/>
                <w:u w:val="single"/>
              </w:rPr>
              <w:t>EXT STEPS</w:t>
            </w:r>
            <w:r w:rsidRPr="00AE2703">
              <w:rPr>
                <w:rFonts w:ascii="Arial" w:hAnsi="Arial" w:cs="Arial"/>
                <w:b/>
                <w:sz w:val="18"/>
                <w:szCs w:val="18"/>
                <w:u w:val="single"/>
              </w:rPr>
              <w:t>:</w:t>
            </w:r>
          </w:p>
          <w:p w:rsidR="00AE2703" w:rsidRPr="00D35D4B" w:rsidRDefault="00AE2703" w:rsidP="0090298A">
            <w:pPr>
              <w:spacing w:after="240"/>
              <w:rPr>
                <w:rFonts w:ascii="Arial" w:hAnsi="Arial"/>
                <w:sz w:val="18"/>
                <w:szCs w:val="18"/>
              </w:rPr>
            </w:pPr>
            <w:r>
              <w:rPr>
                <w:rFonts w:ascii="Arial" w:hAnsi="Arial"/>
                <w:sz w:val="18"/>
                <w:szCs w:val="18"/>
              </w:rPr>
              <w:t xml:space="preserve">Financial Accounting </w:t>
            </w:r>
            <w:r w:rsidR="00567A4B">
              <w:rPr>
                <w:rFonts w:ascii="Arial" w:hAnsi="Arial"/>
                <w:sz w:val="18"/>
                <w:szCs w:val="18"/>
              </w:rPr>
              <w:t>commenced a LEAN project to review all of the components of the annual report.  The goal is to have a</w:t>
            </w:r>
            <w:r w:rsidR="0090298A">
              <w:rPr>
                <w:rFonts w:ascii="Arial" w:hAnsi="Arial"/>
                <w:sz w:val="18"/>
                <w:szCs w:val="18"/>
              </w:rPr>
              <w:t>n unqualified (clean)</w:t>
            </w:r>
            <w:r w:rsidR="00567A4B">
              <w:rPr>
                <w:rFonts w:ascii="Arial" w:hAnsi="Arial"/>
                <w:sz w:val="18"/>
                <w:szCs w:val="18"/>
              </w:rPr>
              <w:t xml:space="preserve"> </w:t>
            </w:r>
            <w:r w:rsidR="0090298A">
              <w:rPr>
                <w:rFonts w:ascii="Arial" w:hAnsi="Arial"/>
                <w:sz w:val="18"/>
                <w:szCs w:val="18"/>
              </w:rPr>
              <w:t>audit</w:t>
            </w:r>
            <w:r w:rsidR="00567A4B">
              <w:rPr>
                <w:rFonts w:ascii="Arial" w:hAnsi="Arial"/>
                <w:sz w:val="18"/>
                <w:szCs w:val="18"/>
              </w:rPr>
              <w:t xml:space="preserve"> report that is </w:t>
            </w:r>
            <w:r w:rsidR="0090298A">
              <w:rPr>
                <w:rFonts w:ascii="Arial" w:hAnsi="Arial"/>
                <w:sz w:val="18"/>
                <w:szCs w:val="18"/>
              </w:rPr>
              <w:t>dated four</w:t>
            </w:r>
            <w:r w:rsidR="00567A4B">
              <w:rPr>
                <w:rFonts w:ascii="Arial" w:hAnsi="Arial"/>
                <w:sz w:val="18"/>
                <w:szCs w:val="18"/>
              </w:rPr>
              <w:t xml:space="preserve"> weeks earlier than 2011, in part to accommodate OFM’s needs related to CAFR reporting.  </w:t>
            </w:r>
          </w:p>
        </w:tc>
      </w:tr>
    </w:tbl>
    <w:p w:rsidR="00AB2353" w:rsidRDefault="00BC0C94" w:rsidP="005B2D86">
      <w:pPr>
        <w:jc w:val="center"/>
        <w:rPr>
          <w:rFonts w:ascii="Arial" w:hAnsi="Arial" w:cs="Arial"/>
          <w:b/>
          <w:sz w:val="32"/>
          <w:szCs w:val="32"/>
        </w:rPr>
      </w:pPr>
      <w:r>
        <w:rPr>
          <w:rFonts w:ascii="Arial" w:hAnsi="Arial" w:cs="Arial"/>
          <w:b/>
          <w:sz w:val="32"/>
          <w:szCs w:val="32"/>
        </w:rPr>
        <w:br w:type="page"/>
      </w:r>
      <w:r w:rsidR="00AB2353" w:rsidRPr="003A57ED">
        <w:rPr>
          <w:rFonts w:ascii="Arial" w:hAnsi="Arial" w:cs="Arial"/>
          <w:b/>
          <w:sz w:val="32"/>
          <w:szCs w:val="32"/>
        </w:rPr>
        <w:lastRenderedPageBreak/>
        <w:t xml:space="preserve">Item # </w:t>
      </w:r>
      <w:r w:rsidR="00AB2353">
        <w:rPr>
          <w:rFonts w:ascii="Arial" w:hAnsi="Arial" w:cs="Arial"/>
          <w:b/>
          <w:sz w:val="32"/>
          <w:szCs w:val="32"/>
        </w:rPr>
        <w:t xml:space="preserve">2:  </w:t>
      </w:r>
      <w:r w:rsidR="00EE2322">
        <w:rPr>
          <w:rFonts w:ascii="Arial" w:hAnsi="Arial" w:cs="Arial"/>
          <w:b/>
          <w:sz w:val="32"/>
          <w:szCs w:val="32"/>
        </w:rPr>
        <w:t xml:space="preserve">Banking &amp; Accounting Operations </w:t>
      </w:r>
      <w:r w:rsidR="00AB2353">
        <w:rPr>
          <w:rFonts w:ascii="Arial" w:hAnsi="Arial" w:cs="Arial"/>
          <w:b/>
          <w:sz w:val="32"/>
          <w:szCs w:val="32"/>
        </w:rPr>
        <w:t>Productivity</w:t>
      </w:r>
    </w:p>
    <w:tbl>
      <w:tblPr>
        <w:tblStyle w:val="TableGrid"/>
        <w:tblpPr w:leftFromText="180" w:rightFromText="180" w:vertAnchor="page" w:horzAnchor="margin" w:tblpY="1846"/>
        <w:tblW w:w="0" w:type="auto"/>
        <w:tblLayout w:type="fixed"/>
        <w:tblLook w:val="01E0" w:firstRow="1" w:lastRow="1" w:firstColumn="1" w:lastColumn="1" w:noHBand="0" w:noVBand="0"/>
      </w:tblPr>
      <w:tblGrid>
        <w:gridCol w:w="11898"/>
        <w:gridCol w:w="2430"/>
      </w:tblGrid>
      <w:tr w:rsidR="00DF678B" w:rsidTr="00B15242">
        <w:trPr>
          <w:trHeight w:val="8450"/>
        </w:trPr>
        <w:tc>
          <w:tcPr>
            <w:tcW w:w="11898" w:type="dxa"/>
          </w:tcPr>
          <w:bookmarkStart w:id="2" w:name="OLE_LINK2"/>
          <w:p w:rsidR="00DF678B" w:rsidRPr="002323FD" w:rsidRDefault="001B1EAE" w:rsidP="00883D58">
            <w:pPr>
              <w:rPr>
                <w:rFonts w:ascii="Arial" w:hAnsi="Arial"/>
                <w:b/>
                <w:sz w:val="32"/>
              </w:rPr>
            </w:pPr>
            <w:r w:rsidRPr="00593D53">
              <w:rPr>
                <w:rFonts w:ascii="Arial" w:hAnsi="Arial"/>
                <w:b/>
                <w:sz w:val="32"/>
              </w:rPr>
              <w:fldChar w:fldCharType="begin"/>
            </w:r>
            <w:r w:rsidRPr="00593D53">
              <w:rPr>
                <w:rFonts w:ascii="Arial" w:hAnsi="Arial"/>
                <w:b/>
                <w:sz w:val="32"/>
              </w:rPr>
              <w:instrText xml:space="preserve"> LINK </w:instrText>
            </w:r>
            <w:r w:rsidR="0073740D">
              <w:rPr>
                <w:rFonts w:ascii="Arial" w:hAnsi="Arial"/>
                <w:b/>
                <w:sz w:val="32"/>
              </w:rPr>
              <w:instrText xml:space="preserve">Excel.Sheet.12 "\\\\nebula2.washington.edu\\uw\\groups\\fin-mgmt\\fm-all\\FM Dashboard Central  Files\\Fin Acctng\\BAO productivity.xlsx" "Dashboard Chart![BAO productivity.xlsx]Dashboard Chart Chart 1" </w:instrText>
            </w:r>
            <w:r w:rsidRPr="00593D53">
              <w:rPr>
                <w:rFonts w:ascii="Arial" w:hAnsi="Arial"/>
                <w:b/>
                <w:sz w:val="32"/>
              </w:rPr>
              <w:instrText xml:space="preserve">\a \p \u \f in-mgmt \f m-all \f M \f in \* MERGEFORMAT </w:instrText>
            </w:r>
            <w:r w:rsidRPr="00593D53">
              <w:rPr>
                <w:rFonts w:ascii="Arial" w:hAnsi="Arial"/>
                <w:b/>
                <w:sz w:val="32"/>
              </w:rPr>
              <w:fldChar w:fldCharType="separate"/>
            </w:r>
            <w:r w:rsidRPr="00593D53">
              <w:rPr>
                <w:rFonts w:ascii="Arial" w:hAnsi="Arial"/>
                <w:b/>
                <w:sz w:val="32"/>
              </w:rPr>
              <w:object w:dxaOrig="12345" w:dyaOrig="8415">
                <v:shape id="_x0000_i1026" type="#_x0000_t75" style="width:588pt;height:396pt" o:ole="">
                  <v:imagedata r:id="rId14" o:title=""/>
                </v:shape>
              </w:object>
            </w:r>
            <w:r w:rsidRPr="00593D53">
              <w:rPr>
                <w:rFonts w:ascii="Arial" w:hAnsi="Arial"/>
                <w:b/>
                <w:sz w:val="32"/>
              </w:rPr>
              <w:fldChar w:fldCharType="end"/>
            </w:r>
          </w:p>
        </w:tc>
        <w:tc>
          <w:tcPr>
            <w:tcW w:w="2430" w:type="dxa"/>
          </w:tcPr>
          <w:p w:rsidR="00DF678B" w:rsidRDefault="00DF678B" w:rsidP="00DF678B">
            <w:pPr>
              <w:rPr>
                <w:rFonts w:ascii="Arial" w:hAnsi="Arial"/>
                <w:b/>
                <w:sz w:val="24"/>
                <w:szCs w:val="24"/>
                <w:u w:val="single"/>
              </w:rPr>
            </w:pPr>
          </w:p>
          <w:p w:rsidR="00DF678B" w:rsidRDefault="00DF678B" w:rsidP="00DF678B">
            <w:pPr>
              <w:rPr>
                <w:rFonts w:ascii="Arial" w:hAnsi="Arial"/>
                <w:b/>
                <w:sz w:val="18"/>
                <w:szCs w:val="18"/>
                <w:u w:val="single"/>
              </w:rPr>
            </w:pPr>
            <w:r w:rsidRPr="00192911">
              <w:rPr>
                <w:rFonts w:ascii="Arial" w:hAnsi="Arial"/>
                <w:b/>
                <w:sz w:val="18"/>
                <w:szCs w:val="18"/>
                <w:u w:val="single"/>
              </w:rPr>
              <w:t>DEFINITION</w:t>
            </w:r>
          </w:p>
          <w:p w:rsidR="00DE1745" w:rsidRDefault="00DE1745" w:rsidP="00DF678B">
            <w:pPr>
              <w:rPr>
                <w:rFonts w:ascii="Arial" w:hAnsi="Arial"/>
                <w:sz w:val="18"/>
                <w:szCs w:val="18"/>
              </w:rPr>
            </w:pPr>
            <w:r>
              <w:rPr>
                <w:rFonts w:ascii="Arial" w:hAnsi="Arial"/>
                <w:sz w:val="18"/>
                <w:szCs w:val="18"/>
              </w:rPr>
              <w:t xml:space="preserve">This </w:t>
            </w:r>
            <w:r w:rsidR="003549AC">
              <w:rPr>
                <w:rFonts w:ascii="Arial" w:hAnsi="Arial"/>
                <w:sz w:val="18"/>
                <w:szCs w:val="18"/>
              </w:rPr>
              <w:t xml:space="preserve">is an index of the </w:t>
            </w:r>
            <w:r>
              <w:rPr>
                <w:rFonts w:ascii="Arial" w:hAnsi="Arial"/>
                <w:sz w:val="18"/>
                <w:szCs w:val="18"/>
              </w:rPr>
              <w:t xml:space="preserve">cost </w:t>
            </w:r>
            <w:r w:rsidR="003549AC">
              <w:rPr>
                <w:rFonts w:ascii="Arial" w:hAnsi="Arial"/>
                <w:sz w:val="18"/>
                <w:szCs w:val="18"/>
              </w:rPr>
              <w:t xml:space="preserve">per unit </w:t>
            </w:r>
            <w:r>
              <w:rPr>
                <w:rFonts w:ascii="Arial" w:hAnsi="Arial"/>
                <w:sz w:val="18"/>
                <w:szCs w:val="18"/>
              </w:rPr>
              <w:t xml:space="preserve">of service provided by B&amp;AO, setting Jan 2008 at 100.  </w:t>
            </w:r>
            <w:r w:rsidR="0041554F">
              <w:rPr>
                <w:rFonts w:ascii="Arial" w:hAnsi="Arial"/>
                <w:sz w:val="18"/>
                <w:szCs w:val="18"/>
              </w:rPr>
              <w:t xml:space="preserve">The cost is determined by allocating payroll </w:t>
            </w:r>
            <w:r w:rsidR="007440B5">
              <w:rPr>
                <w:rFonts w:ascii="Arial" w:hAnsi="Arial"/>
                <w:sz w:val="18"/>
                <w:szCs w:val="18"/>
              </w:rPr>
              <w:t xml:space="preserve">to one of four “units”.  The units are the number of advances, lines of accounting entries, matched lines in </w:t>
            </w:r>
            <w:proofErr w:type="gramStart"/>
            <w:r w:rsidR="007440B5">
              <w:rPr>
                <w:rFonts w:ascii="Arial" w:hAnsi="Arial"/>
                <w:sz w:val="18"/>
                <w:szCs w:val="18"/>
              </w:rPr>
              <w:t>a reconciliation</w:t>
            </w:r>
            <w:proofErr w:type="gramEnd"/>
            <w:r w:rsidR="007440B5">
              <w:rPr>
                <w:rFonts w:ascii="Arial" w:hAnsi="Arial"/>
                <w:sz w:val="18"/>
                <w:szCs w:val="18"/>
              </w:rPr>
              <w:t xml:space="preserve">, and “other” which represents unallocated payroll. </w:t>
            </w:r>
            <w:r w:rsidR="003549AC">
              <w:rPr>
                <w:rFonts w:ascii="Arial" w:hAnsi="Arial"/>
                <w:sz w:val="18"/>
                <w:szCs w:val="18"/>
              </w:rPr>
              <w:t xml:space="preserve">  The</w:t>
            </w:r>
            <w:r w:rsidR="007440B5">
              <w:rPr>
                <w:rFonts w:ascii="Arial" w:hAnsi="Arial"/>
                <w:sz w:val="18"/>
                <w:szCs w:val="18"/>
              </w:rPr>
              <w:t xml:space="preserve"> </w:t>
            </w:r>
            <w:r w:rsidR="003549AC">
              <w:rPr>
                <w:rFonts w:ascii="Arial" w:hAnsi="Arial"/>
                <w:sz w:val="18"/>
                <w:szCs w:val="18"/>
              </w:rPr>
              <w:t>c</w:t>
            </w:r>
            <w:r w:rsidR="007440B5">
              <w:rPr>
                <w:rFonts w:ascii="Arial" w:hAnsi="Arial"/>
                <w:sz w:val="18"/>
                <w:szCs w:val="18"/>
              </w:rPr>
              <w:t xml:space="preserve">ost/unit is standardized to start at 100, </w:t>
            </w:r>
            <w:r w:rsidR="00EB2B69">
              <w:rPr>
                <w:rFonts w:ascii="Arial" w:hAnsi="Arial"/>
                <w:sz w:val="18"/>
                <w:szCs w:val="18"/>
              </w:rPr>
              <w:t>and then</w:t>
            </w:r>
            <w:r w:rsidR="007440B5">
              <w:rPr>
                <w:rFonts w:ascii="Arial" w:hAnsi="Arial"/>
                <w:sz w:val="18"/>
                <w:szCs w:val="18"/>
              </w:rPr>
              <w:t xml:space="preserve"> averaged.</w:t>
            </w:r>
          </w:p>
          <w:p w:rsidR="0041554F" w:rsidRPr="00192911" w:rsidRDefault="0041554F"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ANALYSIS</w:t>
            </w:r>
          </w:p>
          <w:p w:rsidR="00DF678B" w:rsidRDefault="007440B5" w:rsidP="00DF678B">
            <w:pPr>
              <w:rPr>
                <w:rFonts w:ascii="Arial" w:hAnsi="Arial"/>
                <w:sz w:val="18"/>
                <w:szCs w:val="18"/>
              </w:rPr>
            </w:pPr>
            <w:r>
              <w:rPr>
                <w:rFonts w:ascii="Arial" w:hAnsi="Arial"/>
                <w:sz w:val="18"/>
                <w:szCs w:val="18"/>
              </w:rPr>
              <w:t xml:space="preserve">At the end of </w:t>
            </w:r>
            <w:r w:rsidR="00EB2B69">
              <w:rPr>
                <w:rFonts w:ascii="Arial" w:hAnsi="Arial"/>
                <w:sz w:val="18"/>
                <w:szCs w:val="18"/>
              </w:rPr>
              <w:t>December</w:t>
            </w:r>
            <w:r w:rsidR="00BC2963">
              <w:rPr>
                <w:rFonts w:ascii="Arial" w:hAnsi="Arial"/>
                <w:sz w:val="18"/>
                <w:szCs w:val="18"/>
              </w:rPr>
              <w:t xml:space="preserve"> </w:t>
            </w:r>
            <w:r>
              <w:rPr>
                <w:rFonts w:ascii="Arial" w:hAnsi="Arial"/>
                <w:sz w:val="18"/>
                <w:szCs w:val="18"/>
              </w:rPr>
              <w:t>201</w:t>
            </w:r>
            <w:r w:rsidR="00BC2963">
              <w:rPr>
                <w:rFonts w:ascii="Arial" w:hAnsi="Arial"/>
                <w:sz w:val="18"/>
                <w:szCs w:val="18"/>
              </w:rPr>
              <w:t>1</w:t>
            </w:r>
            <w:r w:rsidR="00EB2B69">
              <w:rPr>
                <w:rFonts w:ascii="Arial" w:hAnsi="Arial"/>
                <w:sz w:val="18"/>
                <w:szCs w:val="18"/>
              </w:rPr>
              <w:t>, the index was at 59</w:t>
            </w:r>
            <w:r>
              <w:rPr>
                <w:rFonts w:ascii="Arial" w:hAnsi="Arial"/>
                <w:sz w:val="18"/>
                <w:szCs w:val="18"/>
              </w:rPr>
              <w:t xml:space="preserve">, meaning that </w:t>
            </w:r>
            <w:r w:rsidR="003549AC">
              <w:rPr>
                <w:rFonts w:ascii="Arial" w:hAnsi="Arial"/>
                <w:sz w:val="18"/>
                <w:szCs w:val="18"/>
              </w:rPr>
              <w:t xml:space="preserve">services provided are </w:t>
            </w:r>
            <w:r w:rsidR="00EB2B69">
              <w:rPr>
                <w:rFonts w:ascii="Arial" w:hAnsi="Arial"/>
                <w:sz w:val="18"/>
                <w:szCs w:val="18"/>
              </w:rPr>
              <w:t>4</w:t>
            </w:r>
            <w:r w:rsidR="00883D58">
              <w:rPr>
                <w:rFonts w:ascii="Arial" w:hAnsi="Arial"/>
                <w:sz w:val="18"/>
                <w:szCs w:val="18"/>
              </w:rPr>
              <w:t>1</w:t>
            </w:r>
            <w:r w:rsidR="003549AC">
              <w:rPr>
                <w:rFonts w:ascii="Arial" w:hAnsi="Arial"/>
                <w:sz w:val="18"/>
                <w:szCs w:val="18"/>
              </w:rPr>
              <w:t>% cheaper now than they were at the beginning of 2008.</w:t>
            </w:r>
          </w:p>
          <w:p w:rsidR="003549AC" w:rsidRDefault="003549AC" w:rsidP="00DF678B">
            <w:pPr>
              <w:rPr>
                <w:rFonts w:ascii="Arial" w:hAnsi="Arial"/>
                <w:sz w:val="18"/>
                <w:szCs w:val="18"/>
              </w:rPr>
            </w:pPr>
          </w:p>
          <w:p w:rsidR="00EE2322" w:rsidRDefault="003549AC" w:rsidP="00DF678B">
            <w:pPr>
              <w:rPr>
                <w:rFonts w:ascii="Arial" w:hAnsi="Arial"/>
                <w:sz w:val="18"/>
                <w:szCs w:val="18"/>
              </w:rPr>
            </w:pPr>
            <w:r>
              <w:rPr>
                <w:rFonts w:ascii="Arial" w:hAnsi="Arial"/>
                <w:sz w:val="18"/>
                <w:szCs w:val="18"/>
              </w:rPr>
              <w:t>The index breakdown is:  Accounting entries (</w:t>
            </w:r>
            <w:r w:rsidR="00EB2B69">
              <w:rPr>
                <w:rFonts w:ascii="Arial" w:hAnsi="Arial"/>
                <w:sz w:val="18"/>
                <w:szCs w:val="18"/>
              </w:rPr>
              <w:t>79</w:t>
            </w:r>
            <w:r>
              <w:rPr>
                <w:rFonts w:ascii="Arial" w:hAnsi="Arial"/>
                <w:sz w:val="18"/>
                <w:szCs w:val="18"/>
              </w:rPr>
              <w:t>), Advances (</w:t>
            </w:r>
            <w:r w:rsidR="00EB2B69">
              <w:rPr>
                <w:rFonts w:ascii="Arial" w:hAnsi="Arial"/>
                <w:sz w:val="18"/>
                <w:szCs w:val="18"/>
              </w:rPr>
              <w:t>75</w:t>
            </w:r>
            <w:r>
              <w:rPr>
                <w:rFonts w:ascii="Arial" w:hAnsi="Arial"/>
                <w:sz w:val="18"/>
                <w:szCs w:val="18"/>
              </w:rPr>
              <w:t>), reconciliations (</w:t>
            </w:r>
            <w:r w:rsidR="00EB2B69">
              <w:rPr>
                <w:rFonts w:ascii="Arial" w:hAnsi="Arial"/>
                <w:sz w:val="18"/>
                <w:szCs w:val="18"/>
              </w:rPr>
              <w:t>31</w:t>
            </w:r>
            <w:r>
              <w:rPr>
                <w:rFonts w:ascii="Arial" w:hAnsi="Arial"/>
                <w:sz w:val="18"/>
                <w:szCs w:val="18"/>
              </w:rPr>
              <w:t>), other (</w:t>
            </w:r>
            <w:r w:rsidR="00EB2B69">
              <w:rPr>
                <w:rFonts w:ascii="Arial" w:hAnsi="Arial"/>
                <w:sz w:val="18"/>
                <w:szCs w:val="18"/>
              </w:rPr>
              <w:t>52</w:t>
            </w:r>
            <w:r>
              <w:rPr>
                <w:rFonts w:ascii="Arial" w:hAnsi="Arial"/>
                <w:sz w:val="18"/>
                <w:szCs w:val="18"/>
              </w:rPr>
              <w:t>)</w:t>
            </w:r>
          </w:p>
          <w:p w:rsidR="003549AC" w:rsidRPr="00192911" w:rsidRDefault="003549AC"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NEXT STEPS</w:t>
            </w:r>
          </w:p>
          <w:p w:rsidR="00DF678B" w:rsidRPr="00B44124" w:rsidRDefault="003549AC" w:rsidP="00DF678B">
            <w:pPr>
              <w:rPr>
                <w:rFonts w:ascii="Arial" w:hAnsi="Arial"/>
                <w:sz w:val="18"/>
                <w:szCs w:val="18"/>
              </w:rPr>
            </w:pPr>
            <w:r>
              <w:rPr>
                <w:rFonts w:ascii="Arial" w:hAnsi="Arial"/>
                <w:sz w:val="18"/>
                <w:szCs w:val="18"/>
              </w:rPr>
              <w:t xml:space="preserve">B&amp;AO </w:t>
            </w:r>
            <w:r w:rsidR="008E522C">
              <w:rPr>
                <w:rFonts w:ascii="Arial" w:hAnsi="Arial"/>
                <w:sz w:val="18"/>
                <w:szCs w:val="18"/>
              </w:rPr>
              <w:t>has embraced continuous improvement and continues to streamline our process</w:t>
            </w:r>
            <w:r w:rsidR="0071339F">
              <w:rPr>
                <w:rFonts w:ascii="Arial" w:hAnsi="Arial"/>
                <w:sz w:val="18"/>
                <w:szCs w:val="18"/>
              </w:rPr>
              <w:t>es</w:t>
            </w:r>
            <w:r w:rsidR="008E522C">
              <w:rPr>
                <w:rFonts w:ascii="Arial" w:hAnsi="Arial"/>
                <w:sz w:val="18"/>
                <w:szCs w:val="18"/>
              </w:rPr>
              <w:t>.</w:t>
            </w:r>
            <w:r w:rsidR="006F15AF">
              <w:rPr>
                <w:rFonts w:ascii="Arial" w:hAnsi="Arial"/>
                <w:sz w:val="18"/>
                <w:szCs w:val="18"/>
              </w:rPr>
              <w:t xml:space="preserve">  </w:t>
            </w:r>
          </w:p>
        </w:tc>
      </w:tr>
    </w:tbl>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A4225C" w:rsidRDefault="00A4225C" w:rsidP="00A4225C">
      <w:pPr>
        <w:ind w:left="360"/>
        <w:jc w:val="center"/>
        <w:rPr>
          <w:rFonts w:ascii="Arial" w:hAnsi="Arial" w:cs="Arial"/>
          <w:b/>
          <w:sz w:val="32"/>
          <w:szCs w:val="32"/>
        </w:rPr>
      </w:pPr>
      <w:r w:rsidRPr="003A57ED">
        <w:rPr>
          <w:rFonts w:ascii="Arial" w:hAnsi="Arial" w:cs="Arial"/>
          <w:b/>
          <w:sz w:val="32"/>
          <w:szCs w:val="32"/>
        </w:rPr>
        <w:lastRenderedPageBreak/>
        <w:t xml:space="preserve">Item # </w:t>
      </w:r>
      <w:r w:rsidR="004D4AE0">
        <w:rPr>
          <w:rFonts w:ascii="Arial" w:hAnsi="Arial" w:cs="Arial"/>
          <w:b/>
          <w:sz w:val="32"/>
          <w:szCs w:val="32"/>
        </w:rPr>
        <w:t>3</w:t>
      </w:r>
      <w:r w:rsidRPr="003A57ED">
        <w:rPr>
          <w:rFonts w:ascii="Arial" w:hAnsi="Arial" w:cs="Arial"/>
          <w:b/>
          <w:sz w:val="32"/>
          <w:szCs w:val="32"/>
        </w:rPr>
        <w:t>:</w:t>
      </w:r>
      <w:r>
        <w:rPr>
          <w:rFonts w:ascii="Arial" w:hAnsi="Arial" w:cs="Arial"/>
          <w:b/>
          <w:sz w:val="32"/>
          <w:szCs w:val="32"/>
        </w:rPr>
        <w:t xml:space="preserve"> Number of Manual Entry Transactions</w:t>
      </w:r>
    </w:p>
    <w:p w:rsidR="00694240" w:rsidRDefault="00694240" w:rsidP="00A4225C">
      <w:pPr>
        <w:ind w:left="360"/>
        <w:jc w:val="center"/>
        <w:rPr>
          <w:rFonts w:ascii="Arial" w:hAnsi="Arial" w:cs="Arial"/>
          <w:b/>
          <w:sz w:val="32"/>
          <w:szCs w:val="32"/>
        </w:rPr>
      </w:pPr>
    </w:p>
    <w:tbl>
      <w:tblPr>
        <w:tblStyle w:val="TableGrid"/>
        <w:tblW w:w="0" w:type="auto"/>
        <w:tblLook w:val="01E0" w:firstRow="1" w:lastRow="1" w:firstColumn="1" w:lastColumn="1" w:noHBand="0" w:noVBand="0"/>
      </w:tblPr>
      <w:tblGrid>
        <w:gridCol w:w="11027"/>
        <w:gridCol w:w="3301"/>
      </w:tblGrid>
      <w:tr w:rsidR="00A4225C" w:rsidTr="00DF678B">
        <w:trPr>
          <w:trHeight w:val="8702"/>
        </w:trPr>
        <w:tc>
          <w:tcPr>
            <w:tcW w:w="10583" w:type="dxa"/>
          </w:tcPr>
          <w:p w:rsidR="00ED41C3" w:rsidRPr="002F1970" w:rsidRDefault="001B1EAE" w:rsidP="00753824">
            <w:pPr>
              <w:rPr>
                <w:rFonts w:ascii="Arial" w:hAnsi="Arial"/>
                <w:b/>
                <w:sz w:val="32"/>
              </w:rPr>
            </w:pPr>
            <w:r w:rsidRPr="00D134E9">
              <w:rPr>
                <w:rFonts w:ascii="Arial" w:hAnsi="Arial"/>
                <w:b/>
                <w:sz w:val="32"/>
              </w:rPr>
              <w:fldChar w:fldCharType="begin"/>
            </w:r>
            <w:r w:rsidRPr="00D134E9">
              <w:rPr>
                <w:rFonts w:ascii="Arial" w:hAnsi="Arial"/>
                <w:b/>
                <w:sz w:val="32"/>
              </w:rPr>
              <w:instrText xml:space="preserve"> LINK </w:instrText>
            </w:r>
            <w:r w:rsidR="0073740D">
              <w:rPr>
                <w:rFonts w:ascii="Arial" w:hAnsi="Arial"/>
                <w:b/>
                <w:sz w:val="32"/>
              </w:rPr>
              <w:instrText xml:space="preserve">Excel.Sheet.12 "\\\\nebula2.washington.edu\\uw\\groups\\fin-mgmt\\fm-all\\FM Dashboard Central  Files\\Fin Acctng\\Manual Data Entry Transactions.xlsx" "dashboard chart![Manual Data Entry Transactions.xlsx]dashboard chart Chart 1" </w:instrText>
            </w:r>
            <w:r w:rsidRPr="00D134E9">
              <w:rPr>
                <w:rFonts w:ascii="Arial" w:hAnsi="Arial"/>
                <w:b/>
                <w:sz w:val="32"/>
              </w:rPr>
              <w:instrText xml:space="preserve">\a \p \u \f in-mgmt \f m-all \f M \f in </w:instrText>
            </w:r>
            <w:r w:rsidRPr="00D134E9">
              <w:rPr>
                <w:rFonts w:ascii="Arial" w:hAnsi="Arial"/>
                <w:b/>
                <w:sz w:val="32"/>
              </w:rPr>
              <w:fldChar w:fldCharType="separate"/>
            </w:r>
            <w:r w:rsidRPr="00D134E9">
              <w:rPr>
                <w:rFonts w:ascii="Arial" w:hAnsi="Arial"/>
                <w:b/>
                <w:sz w:val="32"/>
              </w:rPr>
              <w:object w:dxaOrig="12271" w:dyaOrig="8595">
                <v:shape id="_x0000_i1027" type="#_x0000_t75" style="width:540.75pt;height:429.75pt" o:ole="">
                  <v:imagedata r:id="rId15" o:title=""/>
                </v:shape>
              </w:object>
            </w:r>
            <w:r w:rsidRPr="00D134E9">
              <w:rPr>
                <w:rFonts w:ascii="Arial" w:hAnsi="Arial"/>
                <w:b/>
                <w:sz w:val="32"/>
              </w:rPr>
              <w:fldChar w:fldCharType="end"/>
            </w:r>
          </w:p>
        </w:tc>
        <w:tc>
          <w:tcPr>
            <w:tcW w:w="3745" w:type="dxa"/>
          </w:tcPr>
          <w:p w:rsidR="00A4225C" w:rsidRDefault="00A4225C" w:rsidP="00A4225C">
            <w:pPr>
              <w:rPr>
                <w:rFonts w:ascii="Arial" w:hAnsi="Arial"/>
                <w:b/>
                <w:sz w:val="24"/>
                <w:szCs w:val="24"/>
                <w:u w:val="single"/>
              </w:rPr>
            </w:pPr>
          </w:p>
          <w:p w:rsidR="00A4225C" w:rsidRDefault="00A4225C" w:rsidP="00A4225C">
            <w:pPr>
              <w:rPr>
                <w:rFonts w:ascii="Arial" w:hAnsi="Arial"/>
                <w:b/>
                <w:sz w:val="18"/>
                <w:szCs w:val="18"/>
                <w:u w:val="single"/>
              </w:rPr>
            </w:pPr>
            <w:r w:rsidRPr="00192911">
              <w:rPr>
                <w:rFonts w:ascii="Arial" w:hAnsi="Arial"/>
                <w:b/>
                <w:sz w:val="18"/>
                <w:szCs w:val="18"/>
                <w:u w:val="single"/>
              </w:rPr>
              <w:t>DEFINITION</w:t>
            </w:r>
          </w:p>
          <w:p w:rsidR="00A4225C" w:rsidRPr="009032A6" w:rsidRDefault="00A74ACE" w:rsidP="00A4225C">
            <w:pPr>
              <w:rPr>
                <w:rFonts w:ascii="Arial" w:hAnsi="Arial"/>
                <w:sz w:val="18"/>
                <w:szCs w:val="18"/>
              </w:rPr>
            </w:pPr>
            <w:r>
              <w:rPr>
                <w:rFonts w:ascii="Arial" w:hAnsi="Arial"/>
                <w:sz w:val="18"/>
                <w:szCs w:val="18"/>
              </w:rPr>
              <w:t xml:space="preserve">This </w:t>
            </w:r>
            <w:r w:rsidR="00A4225C">
              <w:rPr>
                <w:rFonts w:ascii="Arial" w:hAnsi="Arial"/>
                <w:sz w:val="18"/>
                <w:szCs w:val="18"/>
              </w:rPr>
              <w:t xml:space="preserve">graph represents the number of </w:t>
            </w:r>
            <w:r>
              <w:rPr>
                <w:rFonts w:ascii="Arial" w:hAnsi="Arial"/>
                <w:sz w:val="18"/>
                <w:szCs w:val="18"/>
              </w:rPr>
              <w:t xml:space="preserve">lines of </w:t>
            </w:r>
            <w:r w:rsidR="00A4225C">
              <w:rPr>
                <w:rFonts w:ascii="Arial" w:hAnsi="Arial"/>
                <w:sz w:val="18"/>
                <w:szCs w:val="18"/>
              </w:rPr>
              <w:t xml:space="preserve">transactions being manually entered into </w:t>
            </w:r>
            <w:r>
              <w:rPr>
                <w:rFonts w:ascii="Arial" w:hAnsi="Arial"/>
                <w:sz w:val="18"/>
                <w:szCs w:val="18"/>
              </w:rPr>
              <w:t>VDE</w:t>
            </w:r>
            <w:r w:rsidR="00A4225C">
              <w:rPr>
                <w:rFonts w:ascii="Arial" w:hAnsi="Arial"/>
                <w:sz w:val="18"/>
                <w:szCs w:val="18"/>
              </w:rPr>
              <w:t xml:space="preserve">. </w:t>
            </w:r>
            <w:r w:rsidR="00D93E5F">
              <w:rPr>
                <w:rFonts w:ascii="Arial" w:hAnsi="Arial"/>
                <w:sz w:val="18"/>
                <w:szCs w:val="18"/>
              </w:rPr>
              <w:t>VDE stands for Viking Data Entry, the windows based application used to enter manual batched transactions.</w:t>
            </w:r>
          </w:p>
          <w:p w:rsidR="00A4225C" w:rsidRPr="00192911"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ANALYSIS</w:t>
            </w:r>
          </w:p>
          <w:p w:rsidR="00A4225C" w:rsidRDefault="00A74ACE" w:rsidP="00A4225C">
            <w:pPr>
              <w:rPr>
                <w:rFonts w:ascii="Arial" w:hAnsi="Arial"/>
                <w:sz w:val="18"/>
                <w:szCs w:val="18"/>
              </w:rPr>
            </w:pPr>
            <w:r>
              <w:rPr>
                <w:rFonts w:ascii="Arial" w:hAnsi="Arial"/>
                <w:sz w:val="18"/>
                <w:szCs w:val="18"/>
              </w:rPr>
              <w:t>Since 2008</w:t>
            </w:r>
            <w:r w:rsidR="002D42CF">
              <w:rPr>
                <w:rFonts w:ascii="Arial" w:hAnsi="Arial"/>
                <w:sz w:val="18"/>
                <w:szCs w:val="18"/>
              </w:rPr>
              <w:t>, B&amp;AO has transitioned a significant amount of manual data entry transactions</w:t>
            </w:r>
            <w:r w:rsidR="005C1441">
              <w:rPr>
                <w:rFonts w:ascii="Arial" w:hAnsi="Arial"/>
                <w:sz w:val="18"/>
                <w:szCs w:val="18"/>
              </w:rPr>
              <w:t xml:space="preserve"> </w:t>
            </w:r>
            <w:r w:rsidR="002D42CF">
              <w:rPr>
                <w:rFonts w:ascii="Arial" w:hAnsi="Arial"/>
                <w:sz w:val="18"/>
                <w:szCs w:val="18"/>
              </w:rPr>
              <w:t>to electronic input forms.</w:t>
            </w:r>
            <w:r w:rsidR="005C1441">
              <w:rPr>
                <w:rFonts w:ascii="Arial" w:hAnsi="Arial"/>
                <w:sz w:val="18"/>
                <w:szCs w:val="18"/>
              </w:rPr>
              <w:t xml:space="preserve"> </w:t>
            </w:r>
          </w:p>
          <w:p w:rsidR="005C1441" w:rsidRDefault="005C1441" w:rsidP="00A4225C">
            <w:pPr>
              <w:rPr>
                <w:rFonts w:ascii="Arial" w:hAnsi="Arial"/>
                <w:sz w:val="18"/>
                <w:szCs w:val="18"/>
              </w:rPr>
            </w:pPr>
          </w:p>
          <w:p w:rsidR="00A4225C" w:rsidRDefault="00A74ACE" w:rsidP="00A4225C">
            <w:pPr>
              <w:rPr>
                <w:rFonts w:ascii="Arial" w:hAnsi="Arial"/>
                <w:sz w:val="18"/>
                <w:szCs w:val="18"/>
              </w:rPr>
            </w:pPr>
            <w:r>
              <w:rPr>
                <w:rFonts w:ascii="Arial" w:hAnsi="Arial"/>
                <w:sz w:val="18"/>
                <w:szCs w:val="18"/>
              </w:rPr>
              <w:t>Check requests are almost entirely composed of reimbursements.  JVs are from GCA.</w:t>
            </w:r>
          </w:p>
          <w:p w:rsidR="00A74ACE" w:rsidRDefault="00A74ACE"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NEXT STEPS</w:t>
            </w:r>
          </w:p>
          <w:p w:rsidR="00A4225C" w:rsidRPr="00695B91" w:rsidRDefault="00A74ACE" w:rsidP="00A4225C">
            <w:pPr>
              <w:rPr>
                <w:rFonts w:ascii="Arial" w:hAnsi="Arial"/>
                <w:b/>
                <w:sz w:val="24"/>
                <w:szCs w:val="24"/>
                <w:u w:val="single"/>
              </w:rPr>
            </w:pPr>
            <w:r>
              <w:rPr>
                <w:rFonts w:ascii="Arial" w:hAnsi="Arial"/>
                <w:sz w:val="18"/>
                <w:szCs w:val="18"/>
              </w:rPr>
              <w:t xml:space="preserve">An electronic reimbursement process platform in Ariba should remove most of the check requests. </w:t>
            </w:r>
          </w:p>
          <w:p w:rsidR="00A4225C" w:rsidRPr="00DB513C" w:rsidRDefault="00A4225C" w:rsidP="00A4225C">
            <w:pPr>
              <w:rPr>
                <w:rFonts w:ascii="Arial" w:hAnsi="Arial"/>
                <w:sz w:val="24"/>
                <w:szCs w:val="24"/>
              </w:rPr>
            </w:pPr>
          </w:p>
        </w:tc>
      </w:tr>
      <w:bookmarkEnd w:id="2"/>
    </w:tbl>
    <w:p w:rsidR="00753824" w:rsidRDefault="00753824" w:rsidP="00983875">
      <w:pPr>
        <w:jc w:val="center"/>
        <w:rPr>
          <w:rFonts w:ascii="Arial" w:hAnsi="Arial" w:cs="Arial"/>
          <w:b/>
          <w:sz w:val="32"/>
          <w:szCs w:val="32"/>
        </w:rPr>
      </w:pPr>
    </w:p>
    <w:p w:rsidR="0057690C" w:rsidRDefault="00983875" w:rsidP="00983875">
      <w:pPr>
        <w:jc w:val="center"/>
        <w:rPr>
          <w:rFonts w:ascii="Arial" w:hAnsi="Arial" w:cs="Arial"/>
          <w:b/>
          <w:sz w:val="32"/>
          <w:szCs w:val="32"/>
        </w:rPr>
      </w:pPr>
      <w:r>
        <w:rPr>
          <w:rFonts w:ascii="Arial" w:hAnsi="Arial" w:cs="Arial"/>
          <w:b/>
          <w:sz w:val="32"/>
          <w:szCs w:val="32"/>
        </w:rPr>
        <w:lastRenderedPageBreak/>
        <w:t>I</w:t>
      </w:r>
      <w:r w:rsidR="004D4AE0">
        <w:rPr>
          <w:rFonts w:ascii="Arial" w:hAnsi="Arial" w:cs="Arial"/>
          <w:b/>
          <w:sz w:val="32"/>
          <w:szCs w:val="32"/>
        </w:rPr>
        <w:t xml:space="preserve">tem # 4: </w:t>
      </w:r>
      <w:r w:rsidR="00A17324">
        <w:rPr>
          <w:rFonts w:ascii="Arial" w:hAnsi="Arial" w:cs="Arial"/>
          <w:b/>
          <w:sz w:val="32"/>
          <w:szCs w:val="32"/>
        </w:rPr>
        <w:t>Number of Delinquent ISDs/CTIs</w:t>
      </w:r>
      <w:r w:rsidR="0057690C" w:rsidRPr="003A57ED">
        <w:rPr>
          <w:rFonts w:ascii="Arial" w:hAnsi="Arial" w:cs="Arial"/>
          <w:b/>
          <w:sz w:val="32"/>
          <w:szCs w:val="32"/>
        </w:rPr>
        <w:t>:</w:t>
      </w:r>
    </w:p>
    <w:p w:rsidR="0057690C" w:rsidRDefault="0057690C" w:rsidP="0057690C">
      <w:pPr>
        <w:ind w:left="360"/>
        <w:jc w:val="center"/>
        <w:rPr>
          <w:rFonts w:ascii="Arial" w:hAnsi="Arial" w:cs="Arial"/>
          <w:b/>
          <w:sz w:val="32"/>
          <w:szCs w:val="32"/>
        </w:rPr>
      </w:pPr>
    </w:p>
    <w:tbl>
      <w:tblPr>
        <w:tblStyle w:val="TableGrid"/>
        <w:tblW w:w="0" w:type="auto"/>
        <w:tblLook w:val="01E0" w:firstRow="1" w:lastRow="1" w:firstColumn="1" w:lastColumn="1" w:noHBand="0" w:noVBand="0"/>
      </w:tblPr>
      <w:tblGrid>
        <w:gridCol w:w="10688"/>
        <w:gridCol w:w="3640"/>
      </w:tblGrid>
      <w:tr w:rsidR="001B1D1A" w:rsidTr="000A225E">
        <w:trPr>
          <w:trHeight w:val="8522"/>
        </w:trPr>
        <w:tc>
          <w:tcPr>
            <w:tcW w:w="10688" w:type="dxa"/>
          </w:tcPr>
          <w:p w:rsidR="001B1D1A" w:rsidRDefault="00F32A9A" w:rsidP="00C867B4">
            <w:pPr>
              <w:rPr>
                <w:rFonts w:ascii="Arial" w:hAnsi="Arial"/>
                <w:b/>
                <w:sz w:val="32"/>
              </w:rPr>
            </w:pPr>
            <w:r w:rsidRPr="000C6946">
              <w:rPr>
                <w:rFonts w:ascii="Arial" w:hAnsi="Arial"/>
                <w:b/>
                <w:sz w:val="32"/>
              </w:rPr>
              <w:object w:dxaOrig="10471" w:dyaOrig="4185">
                <v:shape id="_x0000_i1028" type="#_x0000_t75" style="width:523.5pt;height:209.25pt" o:ole="">
                  <v:imagedata r:id="rId16" o:title=""/>
                </v:shape>
                <o:OLEObject Type="Link" ProgID="Excel.Sheet.12" ShapeID="_x0000_i1028" DrawAspect="Content" r:id="rId17" UpdateMode="Always">
                  <o:LinkType>EnhancedMetaFile</o:LinkType>
                  <o:LockedField>false</o:LockedField>
                  <o:FieldCodes>\u \f in-mgmt \f m-all \f M \f in \d</o:FieldCodes>
                </o:OLEObject>
              </w:object>
            </w:r>
          </w:p>
          <w:p w:rsidR="002105F8" w:rsidRPr="002F1970" w:rsidRDefault="00BA28E9" w:rsidP="00A17324">
            <w:pPr>
              <w:rPr>
                <w:rFonts w:ascii="Arial" w:hAnsi="Arial"/>
                <w:b/>
                <w:sz w:val="32"/>
              </w:rPr>
            </w:pPr>
            <w:r w:rsidRPr="000C6946">
              <w:rPr>
                <w:rFonts w:ascii="Arial" w:hAnsi="Arial"/>
                <w:b/>
                <w:sz w:val="32"/>
              </w:rPr>
              <w:object w:dxaOrig="10456" w:dyaOrig="4455">
                <v:shape id="_x0000_i1029" type="#_x0000_t75" style="width:522.75pt;height:222.75pt" o:ole="">
                  <v:imagedata r:id="rId18" o:title=""/>
                </v:shape>
                <o:OLEObject Type="Link" ProgID="Excel.Sheet.12" ShapeID="_x0000_i1029" DrawAspect="Content" r:id="rId19" UpdateMode="Always">
                  <o:LinkType>EnhancedMetaFile</o:LinkType>
                  <o:LockedField>false</o:LockedField>
                  <o:FieldCodes>\u \f in-mgmt \f m-all \f M \f in \d</o:FieldCodes>
                </o:OLEObject>
              </w:object>
            </w:r>
          </w:p>
        </w:tc>
        <w:tc>
          <w:tcPr>
            <w:tcW w:w="3640" w:type="dxa"/>
          </w:tcPr>
          <w:p w:rsidR="001B1D1A" w:rsidRPr="001705E1" w:rsidRDefault="001B1D1A" w:rsidP="00C867B4">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DEFINITION</w:t>
            </w:r>
          </w:p>
          <w:p w:rsidR="00192911" w:rsidRPr="00192911" w:rsidRDefault="00C6038D" w:rsidP="00192911">
            <w:pPr>
              <w:rPr>
                <w:rFonts w:ascii="Arial" w:hAnsi="Arial"/>
                <w:sz w:val="18"/>
                <w:szCs w:val="18"/>
              </w:rPr>
            </w:pPr>
            <w:r>
              <w:rPr>
                <w:rFonts w:ascii="Arial" w:hAnsi="Arial"/>
                <w:sz w:val="18"/>
                <w:szCs w:val="18"/>
              </w:rPr>
              <w:t>Percent of total count or dollars</w:t>
            </w:r>
            <w:r w:rsidR="00192911" w:rsidRPr="00192911">
              <w:rPr>
                <w:rFonts w:ascii="Arial" w:hAnsi="Arial"/>
                <w:sz w:val="18"/>
                <w:szCs w:val="18"/>
              </w:rPr>
              <w:t xml:space="preserve"> of Cost Transfer Invoices (CTIs) and Internal Sales Documents (ISDs) that are processed later than the month following the date of service.  Late billings lead to untimely budget status as well as the possibility of lost funds (in the case of grants that have closed prior to receiving a bill). </w:t>
            </w:r>
          </w:p>
          <w:p w:rsidR="00192911" w:rsidRPr="00192911" w:rsidRDefault="00192911" w:rsidP="00192911">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ANALYSIS</w:t>
            </w:r>
          </w:p>
          <w:p w:rsidR="00EB03B1" w:rsidRPr="001705E1" w:rsidRDefault="00534E28" w:rsidP="00DE59DF">
            <w:pPr>
              <w:rPr>
                <w:rFonts w:ascii="Arial" w:hAnsi="Arial"/>
                <w:sz w:val="18"/>
                <w:szCs w:val="18"/>
              </w:rPr>
            </w:pPr>
            <w:r w:rsidRPr="00534E28">
              <w:rPr>
                <w:rFonts w:ascii="Arial" w:hAnsi="Arial"/>
                <w:sz w:val="18"/>
                <w:szCs w:val="18"/>
              </w:rPr>
              <w:t>Most of the late-presented CTI/ISD's by amount were from the Bothell Dean's Office (25%).  This group experienced some delays in implementing a new process and system to streamline the financial/budgetary/billing for shared services.  They do not expect these delays to be repeated in the future.  By count, most of the late CTI/ISD's were presented by Material Science &amp; Engineering (10%).   Communication with departments submitting late CTI/I</w:t>
            </w:r>
            <w:r>
              <w:rPr>
                <w:rFonts w:ascii="Arial" w:hAnsi="Arial"/>
                <w:sz w:val="18"/>
                <w:szCs w:val="18"/>
              </w:rPr>
              <w:t>SD's is ongoing</w:t>
            </w:r>
            <w:r w:rsidR="0065462D" w:rsidRPr="001705E1">
              <w:rPr>
                <w:rFonts w:ascii="Arial" w:hAnsi="Arial"/>
                <w:sz w:val="18"/>
                <w:szCs w:val="18"/>
              </w:rPr>
              <w:t>.</w:t>
            </w:r>
            <w:r w:rsidR="003B46CD">
              <w:rPr>
                <w:rFonts w:ascii="Arial" w:hAnsi="Arial"/>
                <w:sz w:val="18"/>
                <w:szCs w:val="18"/>
              </w:rPr>
              <w:t xml:space="preserve">  </w:t>
            </w:r>
          </w:p>
          <w:p w:rsidR="00FA6BE3" w:rsidRPr="005F5229" w:rsidRDefault="00FA6BE3" w:rsidP="00FA6BE3">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NEXT STEPS</w:t>
            </w:r>
          </w:p>
          <w:p w:rsidR="001B1D1A" w:rsidRPr="00893223" w:rsidRDefault="009B237E" w:rsidP="00192911">
            <w:pPr>
              <w:rPr>
                <w:rFonts w:ascii="Arial" w:hAnsi="Arial"/>
                <w:sz w:val="18"/>
                <w:szCs w:val="18"/>
              </w:rPr>
            </w:pPr>
            <w:r>
              <w:rPr>
                <w:rFonts w:ascii="Arial" w:hAnsi="Arial"/>
                <w:sz w:val="18"/>
                <w:szCs w:val="18"/>
              </w:rPr>
              <w:t>Continue direct communication with recurring late billing departments.</w:t>
            </w:r>
          </w:p>
        </w:tc>
      </w:tr>
    </w:tbl>
    <w:p w:rsidR="000A225E" w:rsidRDefault="001B1778">
      <w:r>
        <w:tab/>
      </w:r>
      <w:r>
        <w:tab/>
      </w:r>
      <w:r w:rsidR="000A225E">
        <w:br w:type="page"/>
      </w:r>
    </w:p>
    <w:p w:rsidR="000A225E" w:rsidRDefault="000A225E" w:rsidP="000A225E">
      <w:pPr>
        <w:ind w:left="360"/>
        <w:jc w:val="center"/>
        <w:rPr>
          <w:rFonts w:ascii="Arial" w:hAnsi="Arial" w:cs="Arial"/>
          <w:b/>
          <w:sz w:val="32"/>
          <w:szCs w:val="32"/>
        </w:rPr>
      </w:pPr>
      <w:r>
        <w:rPr>
          <w:rFonts w:ascii="Arial" w:hAnsi="Arial" w:cs="Arial"/>
          <w:b/>
          <w:sz w:val="32"/>
          <w:szCs w:val="32"/>
        </w:rPr>
        <w:lastRenderedPageBreak/>
        <w:t>Item # 5: General Ledger Account Reconciliations</w:t>
      </w:r>
      <w:r w:rsidRPr="003A57ED">
        <w:rPr>
          <w:rFonts w:ascii="Arial" w:hAnsi="Arial" w:cs="Arial"/>
          <w:b/>
          <w:sz w:val="32"/>
          <w:szCs w:val="32"/>
        </w:rPr>
        <w:t xml:space="preserve">  </w:t>
      </w:r>
    </w:p>
    <w:p w:rsidR="000A225E" w:rsidRDefault="000A225E" w:rsidP="000A225E">
      <w:pPr>
        <w:ind w:left="360"/>
        <w:jc w:val="center"/>
        <w:rPr>
          <w:rFonts w:ascii="Arial" w:hAnsi="Arial" w:cs="Arial"/>
          <w:b/>
          <w:sz w:val="32"/>
          <w:szCs w:val="32"/>
        </w:rPr>
      </w:pPr>
    </w:p>
    <w:tbl>
      <w:tblPr>
        <w:tblStyle w:val="TableGrid"/>
        <w:tblW w:w="0" w:type="auto"/>
        <w:tblLayout w:type="fixed"/>
        <w:tblLook w:val="01E0" w:firstRow="1" w:lastRow="1" w:firstColumn="1" w:lastColumn="1" w:noHBand="0" w:noVBand="0"/>
      </w:tblPr>
      <w:tblGrid>
        <w:gridCol w:w="10728"/>
        <w:gridCol w:w="3600"/>
      </w:tblGrid>
      <w:tr w:rsidR="000A225E" w:rsidTr="0027255B">
        <w:trPr>
          <w:trHeight w:val="8522"/>
        </w:trPr>
        <w:tc>
          <w:tcPr>
            <w:tcW w:w="10728" w:type="dxa"/>
          </w:tcPr>
          <w:p w:rsidR="000A225E" w:rsidRPr="000A1B88" w:rsidRDefault="00657A6C" w:rsidP="000A1B88">
            <w:pPr>
              <w:rPr>
                <w:rFonts w:ascii="Arial" w:hAnsi="Arial"/>
                <w:bCs/>
                <w:sz w:val="32"/>
              </w:rPr>
            </w:pPr>
            <w:r w:rsidRPr="00DA2054">
              <w:rPr>
                <w:rFonts w:ascii="Arial" w:hAnsi="Arial"/>
                <w:b/>
                <w:sz w:val="32"/>
              </w:rPr>
              <w:fldChar w:fldCharType="begin"/>
            </w:r>
            <w:r w:rsidR="005C4323" w:rsidRPr="00DA2054">
              <w:rPr>
                <w:rFonts w:ascii="Arial" w:hAnsi="Arial"/>
                <w:b/>
                <w:sz w:val="32"/>
              </w:rPr>
              <w:instrText xml:space="preserve"> LINK </w:instrText>
            </w:r>
            <w:r w:rsidR="001D16AE">
              <w:rPr>
                <w:rFonts w:ascii="Arial" w:hAnsi="Arial"/>
                <w:b/>
                <w:sz w:val="32"/>
              </w:rPr>
              <w:instrText xml:space="preserve">Excel.Sheet.8 "\\\\nebula2.washington.edu\\uw\\groups\\fin-mgmt\\fm-all\\FM Dashboard Central  Files\\Fin Acctng\\Percentage of general ledger accounts reconciled and reviewed by a second party.xls" "Chart![Percentage of general ledger accounts reconciled and reviewed by a second party.xls]Chart Chart 1" </w:instrText>
            </w:r>
            <w:r w:rsidR="005C4323" w:rsidRPr="00DA2054">
              <w:rPr>
                <w:rFonts w:ascii="Arial" w:hAnsi="Arial"/>
                <w:b/>
                <w:sz w:val="32"/>
              </w:rPr>
              <w:instrText xml:space="preserve">\a \p </w:instrText>
            </w:r>
            <w:r w:rsidRPr="00DA2054">
              <w:rPr>
                <w:rFonts w:ascii="Arial" w:hAnsi="Arial"/>
                <w:b/>
                <w:sz w:val="32"/>
              </w:rPr>
              <w:fldChar w:fldCharType="separate"/>
            </w:r>
            <w:bookmarkStart w:id="3" w:name="_MON_1389511028"/>
            <w:bookmarkEnd w:id="3"/>
            <w:r w:rsidR="005B2D86" w:rsidRPr="002A729C">
              <w:rPr>
                <w:rFonts w:ascii="Arial" w:hAnsi="Arial"/>
                <w:bCs/>
                <w:sz w:val="32"/>
              </w:rPr>
              <w:object w:dxaOrig="11714" w:dyaOrig="7875">
                <v:shape id="_x0000_i1030" type="#_x0000_t75" style="width:525.75pt;height:417.75pt" o:ole="">
                  <v:imagedata r:id="rId20" o:title=""/>
                </v:shape>
                <o:OLEObject Type="Embed" ProgID="Excel.Sheet.8" ShapeID="_x0000_i1030" DrawAspect="Content" ObjectID="_1396678118" r:id="rId21"/>
              </w:object>
            </w:r>
            <w:r w:rsidRPr="00DA2054">
              <w:rPr>
                <w:rFonts w:ascii="Arial" w:hAnsi="Arial"/>
                <w:b/>
                <w:sz w:val="32"/>
              </w:rPr>
              <w:fldChar w:fldCharType="end"/>
            </w:r>
          </w:p>
        </w:tc>
        <w:tc>
          <w:tcPr>
            <w:tcW w:w="3600" w:type="dxa"/>
          </w:tcPr>
          <w:p w:rsidR="000A225E" w:rsidRDefault="000A225E" w:rsidP="000F7C75">
            <w:pPr>
              <w:rPr>
                <w:rFonts w:ascii="Arial" w:hAnsi="Arial"/>
                <w:b/>
                <w:sz w:val="24"/>
                <w:szCs w:val="24"/>
                <w:u w:val="single"/>
              </w:rPr>
            </w:pPr>
          </w:p>
          <w:p w:rsidR="003F5562" w:rsidRPr="003F5562" w:rsidRDefault="000A225E" w:rsidP="003F5562">
            <w:pPr>
              <w:pStyle w:val="NoSpacing"/>
              <w:rPr>
                <w:rFonts w:ascii="Arial" w:hAnsi="Arial"/>
                <w:b/>
                <w:sz w:val="18"/>
                <w:szCs w:val="18"/>
                <w:u w:val="single"/>
              </w:rPr>
            </w:pPr>
            <w:r w:rsidRPr="003F5562">
              <w:rPr>
                <w:rFonts w:ascii="Arial" w:hAnsi="Arial"/>
                <w:b/>
                <w:sz w:val="18"/>
                <w:szCs w:val="18"/>
                <w:u w:val="single"/>
              </w:rPr>
              <w:t>DEFINITION</w:t>
            </w:r>
            <w:r w:rsidR="003F5562" w:rsidRPr="003F5562">
              <w:rPr>
                <w:rFonts w:ascii="Arial" w:hAnsi="Arial"/>
                <w:b/>
                <w:sz w:val="18"/>
                <w:szCs w:val="18"/>
                <w:u w:val="single"/>
              </w:rPr>
              <w:t xml:space="preserve">  </w:t>
            </w:r>
          </w:p>
          <w:p w:rsidR="003F5562" w:rsidRDefault="003F5562" w:rsidP="003F5562">
            <w:pPr>
              <w:spacing w:after="240"/>
              <w:rPr>
                <w:rFonts w:ascii="Arial" w:hAnsi="Arial"/>
                <w:sz w:val="18"/>
                <w:szCs w:val="18"/>
              </w:rPr>
            </w:pPr>
            <w:r>
              <w:rPr>
                <w:rFonts w:ascii="Arial" w:hAnsi="Arial"/>
                <w:sz w:val="18"/>
                <w:szCs w:val="18"/>
              </w:rPr>
              <w:t xml:space="preserve">Represents the percentage of general ledger accounts which have </w:t>
            </w:r>
            <w:r w:rsidR="00362F54">
              <w:rPr>
                <w:rFonts w:ascii="Arial" w:hAnsi="Arial"/>
                <w:sz w:val="18"/>
                <w:szCs w:val="18"/>
              </w:rPr>
              <w:t xml:space="preserve">not </w:t>
            </w:r>
            <w:r>
              <w:rPr>
                <w:rFonts w:ascii="Arial" w:hAnsi="Arial"/>
                <w:sz w:val="18"/>
                <w:szCs w:val="18"/>
              </w:rPr>
              <w:t>been reconciled, as confirmed by the departments which are responsible for reconciliation.</w:t>
            </w:r>
          </w:p>
          <w:p w:rsidR="000A225E" w:rsidRPr="00192911" w:rsidRDefault="000A225E" w:rsidP="000F7C75">
            <w:pPr>
              <w:rPr>
                <w:rFonts w:ascii="Arial" w:hAnsi="Arial"/>
                <w:b/>
                <w:sz w:val="18"/>
                <w:szCs w:val="18"/>
                <w:u w:val="single"/>
              </w:rPr>
            </w:pPr>
            <w:r w:rsidRPr="00192911">
              <w:rPr>
                <w:rFonts w:ascii="Arial" w:hAnsi="Arial"/>
                <w:b/>
                <w:sz w:val="18"/>
                <w:szCs w:val="18"/>
                <w:u w:val="single"/>
              </w:rPr>
              <w:t>ANALYSIS</w:t>
            </w:r>
          </w:p>
          <w:p w:rsidR="000A225E" w:rsidRDefault="003B52F6" w:rsidP="000F7C75">
            <w:pPr>
              <w:rPr>
                <w:rFonts w:ascii="Arial" w:hAnsi="Arial"/>
                <w:sz w:val="18"/>
                <w:szCs w:val="18"/>
              </w:rPr>
            </w:pPr>
            <w:r>
              <w:rPr>
                <w:rFonts w:ascii="Arial" w:hAnsi="Arial"/>
                <w:sz w:val="18"/>
                <w:szCs w:val="18"/>
              </w:rPr>
              <w:t>The total number of accounts being monitored for reconciliation at 6/</w:t>
            </w:r>
            <w:r w:rsidR="00362F54">
              <w:rPr>
                <w:rFonts w:ascii="Arial" w:hAnsi="Arial"/>
                <w:sz w:val="18"/>
                <w:szCs w:val="18"/>
              </w:rPr>
              <w:t>11</w:t>
            </w:r>
            <w:r w:rsidR="001B1810">
              <w:rPr>
                <w:rFonts w:ascii="Arial" w:hAnsi="Arial"/>
                <w:sz w:val="18"/>
                <w:szCs w:val="18"/>
              </w:rPr>
              <w:t xml:space="preserve"> is 671</w:t>
            </w:r>
            <w:r>
              <w:rPr>
                <w:rFonts w:ascii="Arial" w:hAnsi="Arial"/>
                <w:sz w:val="18"/>
                <w:szCs w:val="18"/>
              </w:rPr>
              <w:t>.</w:t>
            </w:r>
            <w:r w:rsidR="005E357C">
              <w:rPr>
                <w:rFonts w:ascii="Arial" w:hAnsi="Arial"/>
                <w:sz w:val="18"/>
                <w:szCs w:val="18"/>
              </w:rPr>
              <w:t xml:space="preserve">  Total dollars being reconciled (absolute value</w:t>
            </w:r>
            <w:r w:rsidR="001B1810">
              <w:rPr>
                <w:rFonts w:ascii="Arial" w:hAnsi="Arial"/>
                <w:sz w:val="18"/>
                <w:szCs w:val="18"/>
              </w:rPr>
              <w:t>) is $43.5</w:t>
            </w:r>
            <w:r w:rsidR="005E357C">
              <w:rPr>
                <w:rFonts w:ascii="Arial" w:hAnsi="Arial"/>
                <w:sz w:val="18"/>
                <w:szCs w:val="18"/>
              </w:rPr>
              <w:t xml:space="preserve"> billion.</w:t>
            </w:r>
            <w:r>
              <w:rPr>
                <w:rFonts w:ascii="Arial" w:hAnsi="Arial"/>
                <w:sz w:val="18"/>
                <w:szCs w:val="18"/>
              </w:rPr>
              <w:t xml:space="preserve">   </w:t>
            </w:r>
          </w:p>
          <w:p w:rsidR="003B52F6" w:rsidRDefault="003B52F6" w:rsidP="000F7C75">
            <w:pPr>
              <w:rPr>
                <w:rFonts w:ascii="Arial" w:hAnsi="Arial"/>
                <w:sz w:val="18"/>
                <w:szCs w:val="18"/>
              </w:rPr>
            </w:pPr>
          </w:p>
          <w:p w:rsidR="00EE25F7" w:rsidRDefault="00441AC5" w:rsidP="000F7C75">
            <w:pPr>
              <w:rPr>
                <w:rFonts w:ascii="Arial" w:hAnsi="Arial"/>
                <w:sz w:val="18"/>
                <w:szCs w:val="18"/>
              </w:rPr>
            </w:pPr>
            <w:r>
              <w:rPr>
                <w:rFonts w:ascii="Arial" w:hAnsi="Arial"/>
                <w:sz w:val="18"/>
                <w:szCs w:val="18"/>
              </w:rPr>
              <w:t xml:space="preserve">The number </w:t>
            </w:r>
            <w:r w:rsidR="001B1810">
              <w:rPr>
                <w:rFonts w:ascii="Arial" w:hAnsi="Arial"/>
                <w:sz w:val="18"/>
                <w:szCs w:val="18"/>
              </w:rPr>
              <w:t>of un</w:t>
            </w:r>
            <w:r>
              <w:rPr>
                <w:rFonts w:ascii="Arial" w:hAnsi="Arial"/>
                <w:sz w:val="18"/>
                <w:szCs w:val="18"/>
              </w:rPr>
              <w:t xml:space="preserve">reconciled </w:t>
            </w:r>
            <w:r w:rsidR="00F46952">
              <w:rPr>
                <w:rFonts w:ascii="Arial" w:hAnsi="Arial"/>
                <w:sz w:val="18"/>
                <w:szCs w:val="18"/>
              </w:rPr>
              <w:t xml:space="preserve">accounts </w:t>
            </w:r>
            <w:r w:rsidR="001B1810">
              <w:rPr>
                <w:rFonts w:ascii="Arial" w:hAnsi="Arial"/>
                <w:sz w:val="18"/>
                <w:szCs w:val="18"/>
              </w:rPr>
              <w:t xml:space="preserve">decreased from </w:t>
            </w:r>
            <w:r w:rsidR="00F46952">
              <w:rPr>
                <w:rFonts w:ascii="Arial" w:hAnsi="Arial"/>
                <w:sz w:val="18"/>
                <w:szCs w:val="18"/>
              </w:rPr>
              <w:t xml:space="preserve">72 in June 2010 to 17 in June 2011. The department with </w:t>
            </w:r>
            <w:r w:rsidR="00EE25F7">
              <w:rPr>
                <w:rFonts w:ascii="Arial" w:hAnsi="Arial"/>
                <w:sz w:val="18"/>
                <w:szCs w:val="18"/>
              </w:rPr>
              <w:t>the largest</w:t>
            </w:r>
            <w:r w:rsidR="00F46952">
              <w:rPr>
                <w:rFonts w:ascii="Arial" w:hAnsi="Arial"/>
                <w:sz w:val="18"/>
                <w:szCs w:val="18"/>
              </w:rPr>
              <w:t xml:space="preserve"> number of unreconciled accounts</w:t>
            </w:r>
            <w:r w:rsidR="00EE25F7">
              <w:rPr>
                <w:rFonts w:ascii="Arial" w:hAnsi="Arial"/>
                <w:sz w:val="18"/>
                <w:szCs w:val="18"/>
              </w:rPr>
              <w:t xml:space="preserve"> is the Benefits Office (59%), while GCA had the highest unreconciled dollar amount (57%).</w:t>
            </w:r>
          </w:p>
          <w:p w:rsidR="00FE291B" w:rsidRPr="00192911" w:rsidRDefault="005E357C" w:rsidP="000F7C75">
            <w:pPr>
              <w:rPr>
                <w:rFonts w:ascii="Arial" w:hAnsi="Arial"/>
                <w:sz w:val="18"/>
                <w:szCs w:val="18"/>
              </w:rPr>
            </w:pPr>
            <w:r>
              <w:rPr>
                <w:rFonts w:ascii="Arial" w:hAnsi="Arial"/>
                <w:sz w:val="18"/>
                <w:szCs w:val="18"/>
              </w:rPr>
              <w:t xml:space="preserve"> </w:t>
            </w:r>
          </w:p>
          <w:p w:rsidR="000A225E" w:rsidRPr="00192911" w:rsidRDefault="000A225E" w:rsidP="000F7C75">
            <w:pPr>
              <w:rPr>
                <w:rFonts w:ascii="Arial" w:hAnsi="Arial"/>
                <w:b/>
                <w:sz w:val="18"/>
                <w:szCs w:val="18"/>
                <w:u w:val="single"/>
              </w:rPr>
            </w:pPr>
            <w:r w:rsidRPr="00192911">
              <w:rPr>
                <w:rFonts w:ascii="Arial" w:hAnsi="Arial"/>
                <w:b/>
                <w:sz w:val="18"/>
                <w:szCs w:val="18"/>
                <w:u w:val="single"/>
              </w:rPr>
              <w:t>NEXT STEPS</w:t>
            </w:r>
          </w:p>
          <w:p w:rsidR="000A225E" w:rsidRPr="00353057" w:rsidRDefault="00353057" w:rsidP="00262A26">
            <w:pPr>
              <w:rPr>
                <w:rFonts w:ascii="Arial" w:hAnsi="Arial"/>
                <w:sz w:val="18"/>
                <w:szCs w:val="18"/>
              </w:rPr>
            </w:pPr>
            <w:r>
              <w:rPr>
                <w:rFonts w:ascii="Arial" w:hAnsi="Arial"/>
                <w:sz w:val="18"/>
                <w:szCs w:val="18"/>
              </w:rPr>
              <w:t>Continued attention and follow-up</w:t>
            </w:r>
            <w:r w:rsidR="00643291">
              <w:rPr>
                <w:rFonts w:ascii="Arial" w:hAnsi="Arial"/>
                <w:sz w:val="18"/>
                <w:szCs w:val="18"/>
              </w:rPr>
              <w:t xml:space="preserve">, as well as </w:t>
            </w:r>
            <w:r w:rsidR="00201818">
              <w:rPr>
                <w:rFonts w:ascii="Arial" w:hAnsi="Arial"/>
                <w:sz w:val="18"/>
                <w:szCs w:val="18"/>
              </w:rPr>
              <w:t xml:space="preserve">more direct </w:t>
            </w:r>
            <w:r w:rsidR="00643291">
              <w:rPr>
                <w:rFonts w:ascii="Arial" w:hAnsi="Arial"/>
                <w:sz w:val="18"/>
                <w:szCs w:val="18"/>
              </w:rPr>
              <w:t>communicati</w:t>
            </w:r>
            <w:r w:rsidR="00201818">
              <w:rPr>
                <w:rFonts w:ascii="Arial" w:hAnsi="Arial"/>
                <w:sz w:val="18"/>
                <w:szCs w:val="18"/>
              </w:rPr>
              <w:t>on</w:t>
            </w:r>
            <w:r w:rsidR="00643291">
              <w:rPr>
                <w:rFonts w:ascii="Arial" w:hAnsi="Arial"/>
                <w:sz w:val="18"/>
                <w:szCs w:val="18"/>
              </w:rPr>
              <w:t xml:space="preserve"> of the UW’s</w:t>
            </w:r>
            <w:r w:rsidR="00262A26">
              <w:rPr>
                <w:rFonts w:ascii="Arial" w:hAnsi="Arial"/>
                <w:sz w:val="18"/>
                <w:szCs w:val="18"/>
              </w:rPr>
              <w:t xml:space="preserve"> GL </w:t>
            </w:r>
            <w:r w:rsidR="00201818">
              <w:rPr>
                <w:rFonts w:ascii="Arial" w:hAnsi="Arial"/>
                <w:sz w:val="18"/>
                <w:szCs w:val="18"/>
              </w:rPr>
              <w:t xml:space="preserve">reconciliations </w:t>
            </w:r>
            <w:r w:rsidR="00643291">
              <w:rPr>
                <w:rFonts w:ascii="Arial" w:hAnsi="Arial"/>
                <w:sz w:val="18"/>
                <w:szCs w:val="18"/>
              </w:rPr>
              <w:t>policy,</w:t>
            </w:r>
            <w:r>
              <w:rPr>
                <w:rFonts w:ascii="Arial" w:hAnsi="Arial"/>
                <w:sz w:val="18"/>
                <w:szCs w:val="18"/>
              </w:rPr>
              <w:t xml:space="preserve"> should help to ensure that the number of accounts not being reconciled decreases even further in future periods.</w:t>
            </w:r>
            <w:r w:rsidR="00281EFD">
              <w:rPr>
                <w:rFonts w:ascii="Arial" w:hAnsi="Arial"/>
                <w:sz w:val="18"/>
                <w:szCs w:val="18"/>
              </w:rPr>
              <w:t xml:space="preserve">  This year Financial Accounting will sample reconciliations done in other departments to test for reasonability and that the reconciliations provide appropriate support for the balances.</w:t>
            </w:r>
          </w:p>
        </w:tc>
      </w:tr>
    </w:tbl>
    <w:p w:rsidR="000A225E" w:rsidRDefault="000A225E">
      <w:r>
        <w:br w:type="page"/>
      </w:r>
    </w:p>
    <w:p w:rsidR="00DF678B" w:rsidRDefault="00CE381C" w:rsidP="00DF678B">
      <w:pPr>
        <w:ind w:left="360"/>
        <w:jc w:val="center"/>
        <w:rPr>
          <w:rFonts w:ascii="Arial" w:hAnsi="Arial" w:cs="Arial"/>
          <w:b/>
          <w:sz w:val="32"/>
          <w:szCs w:val="32"/>
        </w:rPr>
      </w:pPr>
      <w:r>
        <w:rPr>
          <w:rFonts w:ascii="Arial" w:hAnsi="Arial" w:cs="Arial"/>
          <w:b/>
          <w:noProof/>
          <w:sz w:val="32"/>
          <w:szCs w:val="32"/>
        </w:rPr>
        <w:lastRenderedPageBreak/>
        <w:pict>
          <v:shapetype id="_x0000_t32" coordsize="21600,21600" o:spt="32" o:oned="t" path="m,l21600,21600e" filled="f">
            <v:path arrowok="t" fillok="f" o:connecttype="none"/>
            <o:lock v:ext="edit" shapetype="t"/>
          </v:shapetype>
          <v:shape id="_x0000_s1040" type="#_x0000_t32" style="position:absolute;left:0;text-align:left;margin-left:5.8pt;margin-top:-23.25pt;width:49.5pt;height:45.75pt;z-index:251658240" o:connectortype="straight" stroked="f">
            <v:stroke endarrow="block"/>
          </v:shape>
        </w:pict>
      </w:r>
      <w:r w:rsidR="00DF678B" w:rsidRPr="003A57ED">
        <w:rPr>
          <w:rFonts w:ascii="Arial" w:hAnsi="Arial" w:cs="Arial"/>
          <w:b/>
          <w:sz w:val="32"/>
          <w:szCs w:val="32"/>
        </w:rPr>
        <w:t xml:space="preserve">Item # </w:t>
      </w:r>
      <w:r w:rsidR="00DF678B">
        <w:rPr>
          <w:rFonts w:ascii="Arial" w:hAnsi="Arial" w:cs="Arial"/>
          <w:b/>
          <w:sz w:val="32"/>
          <w:szCs w:val="32"/>
        </w:rPr>
        <w:t xml:space="preserve">6:  Financial Reporting </w:t>
      </w:r>
      <w:r w:rsidR="00EE2322">
        <w:rPr>
          <w:rFonts w:ascii="Arial" w:hAnsi="Arial" w:cs="Arial"/>
          <w:b/>
          <w:sz w:val="32"/>
          <w:szCs w:val="32"/>
        </w:rPr>
        <w:t>Process Improvement</w:t>
      </w:r>
      <w:r w:rsidR="00DF678B" w:rsidRPr="003A57ED">
        <w:rPr>
          <w:rFonts w:ascii="Arial" w:hAnsi="Arial" w:cs="Arial"/>
          <w:b/>
          <w:sz w:val="32"/>
          <w:szCs w:val="32"/>
        </w:rPr>
        <w:t xml:space="preserve"> </w:t>
      </w:r>
    </w:p>
    <w:tbl>
      <w:tblPr>
        <w:tblStyle w:val="TableGrid"/>
        <w:tblpPr w:leftFromText="180" w:rightFromText="180" w:vertAnchor="page" w:horzAnchor="margin" w:tblpY="1951"/>
        <w:tblW w:w="0" w:type="auto"/>
        <w:tblLook w:val="01E0" w:firstRow="1" w:lastRow="1" w:firstColumn="1" w:lastColumn="1" w:noHBand="0" w:noVBand="0"/>
      </w:tblPr>
      <w:tblGrid>
        <w:gridCol w:w="11373"/>
        <w:gridCol w:w="2955"/>
      </w:tblGrid>
      <w:tr w:rsidR="00DF678B" w:rsidTr="00DF678B">
        <w:trPr>
          <w:trHeight w:val="8543"/>
        </w:trPr>
        <w:tc>
          <w:tcPr>
            <w:tcW w:w="10823" w:type="dxa"/>
          </w:tcPr>
          <w:p w:rsidR="00DF678B" w:rsidRPr="002323FD" w:rsidRDefault="00CE381C" w:rsidP="001D0303">
            <w:pPr>
              <w:rPr>
                <w:rFonts w:ascii="Arial" w:hAnsi="Arial"/>
                <w:b/>
                <w:sz w:val="32"/>
              </w:rPr>
            </w:pPr>
            <w:r>
              <w:rPr>
                <w:rFonts w:ascii="Arial" w:hAnsi="Arial" w:cs="Arial"/>
                <w:b/>
                <w:noProof/>
                <w:sz w:val="32"/>
                <w:szCs w:val="32"/>
              </w:rPr>
              <w:pict>
                <v:shape id="_x0000_s1041" type="#_x0000_t32" style="position:absolute;margin-left:328.9pt;margin-top:162.7pt;width:41.25pt;height:38.25pt;z-index:251659264" o:connectortype="straight" strokecolor="#002060">
                  <v:stroke endarrow="block"/>
                </v:shape>
              </w:pict>
            </w:r>
            <w:r w:rsidR="00BA28E9" w:rsidRPr="006D6E4E">
              <w:rPr>
                <w:rFonts w:ascii="Arial" w:hAnsi="Arial"/>
                <w:b/>
                <w:sz w:val="32"/>
              </w:rPr>
              <w:object w:dxaOrig="10575" w:dyaOrig="8490">
                <v:shape id="_x0000_i1031" type="#_x0000_t75" style="width:558pt;height:449.25pt" o:ole="">
                  <v:imagedata r:id="rId22" o:title=""/>
                </v:shape>
                <o:OLEObject Type="Link" ProgID="Excel.Sheet.12" ShapeID="_x0000_i1031" DrawAspect="Content" r:id="rId23" UpdateMode="Always">
                  <o:LinkType>EnhancedMetaFile</o:LinkType>
                  <o:LockedField>false</o:LockedField>
                  <o:FieldCodes>\* MERGEFORMAT</o:FieldCodes>
                </o:OLEObject>
              </w:object>
            </w:r>
          </w:p>
        </w:tc>
        <w:tc>
          <w:tcPr>
            <w:tcW w:w="3505" w:type="dxa"/>
          </w:tcPr>
          <w:p w:rsidR="00DF678B" w:rsidRDefault="00DF678B" w:rsidP="001D0303">
            <w:pPr>
              <w:rPr>
                <w:rFonts w:ascii="Arial" w:hAnsi="Arial"/>
                <w:b/>
                <w:sz w:val="18"/>
                <w:szCs w:val="18"/>
                <w:u w:val="single"/>
              </w:rPr>
            </w:pPr>
          </w:p>
          <w:p w:rsidR="00DF678B" w:rsidRDefault="00DF678B" w:rsidP="001D0303">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1D0303">
            <w:pPr>
              <w:rPr>
                <w:rFonts w:ascii="Arial" w:hAnsi="Arial"/>
                <w:sz w:val="18"/>
                <w:szCs w:val="18"/>
              </w:rPr>
            </w:pPr>
            <w:r>
              <w:rPr>
                <w:rFonts w:ascii="Arial" w:hAnsi="Arial"/>
                <w:sz w:val="18"/>
                <w:szCs w:val="18"/>
              </w:rPr>
              <w:t xml:space="preserve">Represents Financial Accounting </w:t>
            </w:r>
            <w:r w:rsidR="00B92FC2">
              <w:rPr>
                <w:rFonts w:ascii="Arial" w:hAnsi="Arial"/>
                <w:sz w:val="18"/>
                <w:szCs w:val="18"/>
              </w:rPr>
              <w:t xml:space="preserve">(excl. BAO) </w:t>
            </w:r>
            <w:r>
              <w:rPr>
                <w:rFonts w:ascii="Arial" w:hAnsi="Arial"/>
                <w:sz w:val="18"/>
                <w:szCs w:val="18"/>
              </w:rPr>
              <w:t xml:space="preserve">process improvements as measured by the number of FTE’s required to support the </w:t>
            </w:r>
            <w:r w:rsidR="0090298A">
              <w:rPr>
                <w:rFonts w:ascii="Arial" w:hAnsi="Arial"/>
                <w:sz w:val="18"/>
                <w:szCs w:val="18"/>
              </w:rPr>
              <w:t>Financial</w:t>
            </w:r>
            <w:r>
              <w:rPr>
                <w:rFonts w:ascii="Arial" w:hAnsi="Arial"/>
                <w:sz w:val="18"/>
                <w:szCs w:val="18"/>
              </w:rPr>
              <w:t xml:space="preserve"> Report process.   Specifically, the complexity of the </w:t>
            </w:r>
            <w:r w:rsidR="0090298A">
              <w:rPr>
                <w:rFonts w:ascii="Arial" w:hAnsi="Arial"/>
                <w:sz w:val="18"/>
                <w:szCs w:val="18"/>
              </w:rPr>
              <w:t>Financial</w:t>
            </w:r>
            <w:r>
              <w:rPr>
                <w:rFonts w:ascii="Arial" w:hAnsi="Arial"/>
                <w:sz w:val="18"/>
                <w:szCs w:val="18"/>
              </w:rPr>
              <w:t xml:space="preserve"> Report process (as quantified by the number of figures in the</w:t>
            </w:r>
            <w:r w:rsidR="00743506">
              <w:rPr>
                <w:rFonts w:ascii="Arial" w:hAnsi="Arial"/>
                <w:sz w:val="18"/>
                <w:szCs w:val="18"/>
              </w:rPr>
              <w:t xml:space="preserve"> </w:t>
            </w:r>
            <w:r>
              <w:rPr>
                <w:rFonts w:ascii="Arial" w:hAnsi="Arial"/>
                <w:sz w:val="18"/>
                <w:szCs w:val="18"/>
              </w:rPr>
              <w:t>audited financial statements and footnotes for which Financial Accounting gathers or develops auditable evidence) is compared against the number of FTE’s supporting the process.</w:t>
            </w:r>
            <w:r w:rsidR="00743506">
              <w:rPr>
                <w:rFonts w:ascii="Arial" w:hAnsi="Arial"/>
                <w:sz w:val="18"/>
                <w:szCs w:val="18"/>
              </w:rPr>
              <w:t xml:space="preserve">  The 201</w:t>
            </w:r>
            <w:r w:rsidR="009E1CE4">
              <w:rPr>
                <w:rFonts w:ascii="Arial" w:hAnsi="Arial"/>
                <w:sz w:val="18"/>
                <w:szCs w:val="18"/>
              </w:rPr>
              <w:t>2</w:t>
            </w:r>
            <w:r w:rsidR="00743506">
              <w:rPr>
                <w:rFonts w:ascii="Arial" w:hAnsi="Arial"/>
                <w:sz w:val="18"/>
                <w:szCs w:val="18"/>
              </w:rPr>
              <w:t xml:space="preserve"> measure represents work performed on the 20</w:t>
            </w:r>
            <w:r w:rsidR="009E1CE4">
              <w:rPr>
                <w:rFonts w:ascii="Arial" w:hAnsi="Arial"/>
                <w:sz w:val="18"/>
                <w:szCs w:val="18"/>
              </w:rPr>
              <w:t>11</w:t>
            </w:r>
            <w:r w:rsidR="00743506">
              <w:rPr>
                <w:rFonts w:ascii="Arial" w:hAnsi="Arial"/>
                <w:sz w:val="18"/>
                <w:szCs w:val="18"/>
              </w:rPr>
              <w:t xml:space="preserve"> </w:t>
            </w:r>
            <w:r w:rsidR="0090298A">
              <w:rPr>
                <w:rFonts w:ascii="Arial" w:hAnsi="Arial"/>
                <w:sz w:val="18"/>
                <w:szCs w:val="18"/>
              </w:rPr>
              <w:t>Financial</w:t>
            </w:r>
            <w:r w:rsidR="00743506">
              <w:rPr>
                <w:rFonts w:ascii="Arial" w:hAnsi="Arial"/>
                <w:sz w:val="18"/>
                <w:szCs w:val="18"/>
              </w:rPr>
              <w:t xml:space="preserve"> Report.</w:t>
            </w:r>
          </w:p>
          <w:p w:rsidR="00DF678B" w:rsidRPr="009032A6"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ANALYSIS</w:t>
            </w:r>
          </w:p>
          <w:p w:rsidR="00DF678B" w:rsidRDefault="00DF678B" w:rsidP="001D03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 xml:space="preserve">last four fiscal years the University has implemented </w:t>
            </w:r>
            <w:r w:rsidR="009E1CE4">
              <w:rPr>
                <w:rFonts w:ascii="Arial" w:hAnsi="Arial" w:cs="Arial"/>
                <w:sz w:val="18"/>
                <w:szCs w:val="18"/>
              </w:rPr>
              <w:t xml:space="preserve">three </w:t>
            </w:r>
            <w:r>
              <w:rPr>
                <w:rFonts w:ascii="Arial" w:hAnsi="Arial" w:cs="Arial"/>
                <w:sz w:val="18"/>
                <w:szCs w:val="18"/>
              </w:rPr>
              <w:t>new accounting pronouncements</w:t>
            </w:r>
            <w:r w:rsidR="009E1CE4">
              <w:rPr>
                <w:rFonts w:ascii="Arial" w:hAnsi="Arial" w:cs="Arial"/>
                <w:sz w:val="18"/>
                <w:szCs w:val="18"/>
              </w:rPr>
              <w:t>, acquired its first discretely presented component unit and acquired Airlift Northwest, each of which have unique impacts on the financial reporting.</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 xml:space="preserve">In that same period Financial Accounting </w:t>
            </w:r>
            <w:r w:rsidR="0090298A">
              <w:rPr>
                <w:rFonts w:ascii="Arial" w:hAnsi="Arial" w:cs="Arial"/>
                <w:sz w:val="18"/>
                <w:szCs w:val="18"/>
              </w:rPr>
              <w:t>r</w:t>
            </w:r>
            <w:r>
              <w:rPr>
                <w:rFonts w:ascii="Arial" w:hAnsi="Arial" w:cs="Arial"/>
                <w:sz w:val="18"/>
                <w:szCs w:val="18"/>
              </w:rPr>
              <w:t xml:space="preserve">educed FTE’s by </w:t>
            </w:r>
            <w:r w:rsidR="009E1CE4">
              <w:rPr>
                <w:rFonts w:ascii="Arial" w:hAnsi="Arial" w:cs="Arial"/>
                <w:sz w:val="18"/>
                <w:szCs w:val="18"/>
              </w:rPr>
              <w:t>9</w:t>
            </w:r>
            <w:r>
              <w:rPr>
                <w:rFonts w:ascii="Arial" w:hAnsi="Arial" w:cs="Arial"/>
                <w:sz w:val="18"/>
                <w:szCs w:val="18"/>
              </w:rPr>
              <w:t>%</w:t>
            </w:r>
            <w:r w:rsidR="0090298A">
              <w:rPr>
                <w:rFonts w:ascii="Arial" w:hAnsi="Arial" w:cs="Arial"/>
                <w:sz w:val="18"/>
                <w:szCs w:val="18"/>
              </w:rPr>
              <w:t>.</w:t>
            </w:r>
            <w:r w:rsidR="009E1CE4">
              <w:rPr>
                <w:rFonts w:ascii="Arial" w:hAnsi="Arial" w:cs="Arial"/>
                <w:sz w:val="18"/>
                <w:szCs w:val="18"/>
              </w:rPr>
              <w:t>.</w:t>
            </w:r>
          </w:p>
          <w:p w:rsidR="00DF678B" w:rsidRDefault="00DF678B" w:rsidP="001D0303">
            <w:pPr>
              <w:pStyle w:val="NoSpacing"/>
              <w:rPr>
                <w:rFonts w:ascii="Arial" w:hAnsi="Arial" w:cs="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NEXT STEPS</w:t>
            </w:r>
          </w:p>
          <w:p w:rsidR="00DF678B" w:rsidRPr="0008782F" w:rsidRDefault="00DF678B" w:rsidP="009E1CE4">
            <w:pPr>
              <w:rPr>
                <w:rFonts w:ascii="Arial" w:hAnsi="Arial"/>
                <w:b/>
                <w:sz w:val="24"/>
                <w:szCs w:val="24"/>
                <w:u w:val="single"/>
              </w:rPr>
            </w:pPr>
            <w:r>
              <w:rPr>
                <w:rFonts w:ascii="Arial" w:hAnsi="Arial"/>
                <w:sz w:val="18"/>
                <w:szCs w:val="18"/>
              </w:rPr>
              <w:t xml:space="preserve">Financial Accounting is </w:t>
            </w:r>
            <w:r w:rsidR="009E1CE4">
              <w:rPr>
                <w:rFonts w:ascii="Arial" w:hAnsi="Arial"/>
                <w:sz w:val="18"/>
                <w:szCs w:val="18"/>
              </w:rPr>
              <w:t>continuing the</w:t>
            </w:r>
            <w:r>
              <w:rPr>
                <w:rFonts w:ascii="Arial" w:hAnsi="Arial"/>
                <w:sz w:val="18"/>
                <w:szCs w:val="18"/>
              </w:rPr>
              <w:t xml:space="preserve"> process of reevaluating all of the components of the financial reporting process and is aggressively pursuing opportunities for improvement.</w:t>
            </w:r>
          </w:p>
        </w:tc>
      </w:tr>
    </w:tbl>
    <w:p w:rsidR="00DF678B" w:rsidRDefault="00DF678B" w:rsidP="007F2153">
      <w:pPr>
        <w:ind w:left="360"/>
        <w:jc w:val="center"/>
        <w:rPr>
          <w:rFonts w:ascii="Arial" w:hAnsi="Arial" w:cs="Arial"/>
          <w:b/>
          <w:sz w:val="32"/>
          <w:szCs w:val="32"/>
        </w:rPr>
      </w:pPr>
    </w:p>
    <w:p w:rsidR="00DF678B" w:rsidRDefault="00DF678B">
      <w:pPr>
        <w:rPr>
          <w:rFonts w:ascii="Arial" w:hAnsi="Arial" w:cs="Arial"/>
          <w:b/>
          <w:sz w:val="32"/>
          <w:szCs w:val="32"/>
        </w:rPr>
      </w:pPr>
    </w:p>
    <w:p w:rsidR="00235F04" w:rsidRDefault="00694240" w:rsidP="007F2153">
      <w:pPr>
        <w:ind w:left="360"/>
        <w:jc w:val="center"/>
        <w:rPr>
          <w:rFonts w:ascii="Arial" w:hAnsi="Arial" w:cs="Arial"/>
          <w:b/>
          <w:sz w:val="32"/>
          <w:szCs w:val="32"/>
        </w:rPr>
      </w:pPr>
      <w:r>
        <w:rPr>
          <w:rFonts w:ascii="Arial" w:hAnsi="Arial" w:cs="Arial"/>
          <w:b/>
          <w:sz w:val="32"/>
          <w:szCs w:val="32"/>
        </w:rPr>
        <w:t>I</w:t>
      </w:r>
      <w:r w:rsidR="00235F04" w:rsidRPr="003A57ED">
        <w:rPr>
          <w:rFonts w:ascii="Arial" w:hAnsi="Arial" w:cs="Arial"/>
          <w:b/>
          <w:sz w:val="32"/>
          <w:szCs w:val="32"/>
        </w:rPr>
        <w:t xml:space="preserve">tem # </w:t>
      </w:r>
      <w:r w:rsidR="005C58DD">
        <w:rPr>
          <w:rFonts w:ascii="Arial" w:hAnsi="Arial" w:cs="Arial"/>
          <w:b/>
          <w:sz w:val="32"/>
          <w:szCs w:val="32"/>
        </w:rPr>
        <w:t>7</w:t>
      </w:r>
      <w:r w:rsidR="00235F04" w:rsidRPr="003A57ED">
        <w:rPr>
          <w:rFonts w:ascii="Arial" w:hAnsi="Arial" w:cs="Arial"/>
          <w:b/>
          <w:sz w:val="32"/>
          <w:szCs w:val="32"/>
        </w:rPr>
        <w:t xml:space="preserve">:  </w:t>
      </w:r>
      <w:r w:rsidR="009032A6">
        <w:rPr>
          <w:rFonts w:ascii="Arial" w:hAnsi="Arial" w:cs="Arial"/>
          <w:b/>
          <w:sz w:val="32"/>
          <w:szCs w:val="32"/>
        </w:rPr>
        <w:t xml:space="preserve">Dollar Amount of Un-Matched </w:t>
      </w:r>
      <w:r w:rsidR="00927F0C">
        <w:rPr>
          <w:rFonts w:ascii="Arial" w:hAnsi="Arial" w:cs="Arial"/>
          <w:b/>
          <w:sz w:val="32"/>
          <w:szCs w:val="32"/>
        </w:rPr>
        <w:t>Receipts</w:t>
      </w:r>
    </w:p>
    <w:p w:rsidR="00694240" w:rsidRDefault="00694240" w:rsidP="00235F04">
      <w:pPr>
        <w:ind w:left="360"/>
        <w:jc w:val="center"/>
        <w:rPr>
          <w:rFonts w:ascii="Arial" w:hAnsi="Arial" w:cs="Arial"/>
          <w:b/>
          <w:sz w:val="32"/>
          <w:szCs w:val="32"/>
        </w:rPr>
      </w:pPr>
    </w:p>
    <w:tbl>
      <w:tblPr>
        <w:tblStyle w:val="TableGrid"/>
        <w:tblW w:w="0" w:type="auto"/>
        <w:tblLook w:val="01E0" w:firstRow="1" w:lastRow="1" w:firstColumn="1" w:lastColumn="1" w:noHBand="0" w:noVBand="0"/>
      </w:tblPr>
      <w:tblGrid>
        <w:gridCol w:w="11796"/>
        <w:gridCol w:w="2532"/>
      </w:tblGrid>
      <w:tr w:rsidR="00B32DA8" w:rsidTr="00DA1DFF">
        <w:trPr>
          <w:trHeight w:val="8522"/>
        </w:trPr>
        <w:tc>
          <w:tcPr>
            <w:tcW w:w="11718" w:type="dxa"/>
          </w:tcPr>
          <w:p w:rsidR="005F4881" w:rsidRPr="002F1970" w:rsidRDefault="00AF3BBA" w:rsidP="00370480">
            <w:pPr>
              <w:rPr>
                <w:rFonts w:ascii="Arial" w:hAnsi="Arial"/>
                <w:b/>
                <w:sz w:val="32"/>
              </w:rPr>
            </w:pPr>
            <w:r>
              <w:rPr>
                <w:rFonts w:ascii="Arial" w:hAnsi="Arial"/>
                <w:b/>
                <w:noProof/>
                <w:sz w:val="32"/>
              </w:rPr>
              <w:drawing>
                <wp:inline distT="0" distB="0" distL="0" distR="0">
                  <wp:extent cx="7329083" cy="4848225"/>
                  <wp:effectExtent l="19050" t="0" r="5167"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7331141" cy="4849586"/>
                          </a:xfrm>
                          <a:prstGeom prst="rect">
                            <a:avLst/>
                          </a:prstGeom>
                          <a:noFill/>
                          <a:ln w="9525">
                            <a:noFill/>
                            <a:miter lim="800000"/>
                            <a:headEnd/>
                            <a:tailEnd/>
                          </a:ln>
                        </pic:spPr>
                      </pic:pic>
                    </a:graphicData>
                  </a:graphic>
                </wp:inline>
              </w:drawing>
            </w:r>
            <w:r w:rsidR="00CE381C">
              <w:rPr>
                <w:rFonts w:ascii="Arial" w:hAnsi="Arial"/>
                <w:b/>
                <w:noProof/>
                <w:sz w:val="32"/>
              </w:rPr>
              <w:pict>
                <v:shape id="_x0000_s1052" type="#_x0000_t32" style="position:absolute;margin-left:131.8pt;margin-top:71.45pt;width:43.5pt;height:28.5pt;flip:x;z-index:251660288;mso-position-horizontal-relative:text;mso-position-vertical-relative:text" o:connectortype="straight" stroked="f">
                  <v:stroke endarrow="block"/>
                </v:shape>
              </w:pict>
            </w:r>
          </w:p>
        </w:tc>
        <w:tc>
          <w:tcPr>
            <w:tcW w:w="2610" w:type="dxa"/>
          </w:tcPr>
          <w:p w:rsidR="00694240" w:rsidRDefault="00694240" w:rsidP="009032A6">
            <w:pPr>
              <w:rPr>
                <w:rFonts w:ascii="Arial" w:hAnsi="Arial"/>
                <w:b/>
                <w:sz w:val="18"/>
                <w:szCs w:val="18"/>
                <w:u w:val="single"/>
              </w:rPr>
            </w:pPr>
          </w:p>
          <w:p w:rsidR="009032A6" w:rsidRDefault="009032A6" w:rsidP="009032A6">
            <w:pPr>
              <w:rPr>
                <w:rFonts w:ascii="Arial" w:hAnsi="Arial"/>
                <w:b/>
                <w:sz w:val="18"/>
                <w:szCs w:val="18"/>
                <w:u w:val="single"/>
              </w:rPr>
            </w:pPr>
            <w:r w:rsidRPr="00192911">
              <w:rPr>
                <w:rFonts w:ascii="Arial" w:hAnsi="Arial"/>
                <w:b/>
                <w:sz w:val="18"/>
                <w:szCs w:val="18"/>
                <w:u w:val="single"/>
              </w:rPr>
              <w:t>DEFINITION</w:t>
            </w:r>
          </w:p>
          <w:p w:rsidR="009032A6" w:rsidRPr="009032A6" w:rsidRDefault="009032A6" w:rsidP="009032A6">
            <w:pPr>
              <w:rPr>
                <w:rFonts w:ascii="Arial" w:hAnsi="Arial"/>
                <w:sz w:val="18"/>
                <w:szCs w:val="18"/>
              </w:rPr>
            </w:pPr>
            <w:r>
              <w:rPr>
                <w:rFonts w:ascii="Arial" w:hAnsi="Arial"/>
                <w:sz w:val="18"/>
                <w:szCs w:val="18"/>
              </w:rPr>
              <w:t>Repres</w:t>
            </w:r>
            <w:r w:rsidR="00F75B85">
              <w:rPr>
                <w:rFonts w:ascii="Arial" w:hAnsi="Arial"/>
                <w:sz w:val="18"/>
                <w:szCs w:val="18"/>
              </w:rPr>
              <w:t xml:space="preserve">ents the dollar amounts received by UW’s main operating bank account which have not been recorded in the accounting system.  The graph shows unmatched dollars at the end of each month, </w:t>
            </w:r>
            <w:r w:rsidR="00AD3A98">
              <w:rPr>
                <w:rFonts w:ascii="Arial" w:hAnsi="Arial"/>
                <w:sz w:val="18"/>
                <w:szCs w:val="18"/>
              </w:rPr>
              <w:t>with the current month</w:t>
            </w:r>
            <w:r w:rsidR="00C72B7F">
              <w:rPr>
                <w:rFonts w:ascii="Arial" w:hAnsi="Arial"/>
                <w:sz w:val="18"/>
                <w:szCs w:val="18"/>
              </w:rPr>
              <w:t>s</w:t>
            </w:r>
            <w:r w:rsidR="00AD3A98">
              <w:rPr>
                <w:rFonts w:ascii="Arial" w:hAnsi="Arial"/>
                <w:sz w:val="18"/>
                <w:szCs w:val="18"/>
              </w:rPr>
              <w:t xml:space="preserve"> </w:t>
            </w:r>
            <w:r w:rsidR="00F75B85">
              <w:rPr>
                <w:rFonts w:ascii="Arial" w:hAnsi="Arial"/>
                <w:sz w:val="18"/>
                <w:szCs w:val="18"/>
              </w:rPr>
              <w:t>aged by how long funds have been unidentified.</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ANALYSIS</w:t>
            </w:r>
          </w:p>
          <w:p w:rsidR="009032A6" w:rsidRDefault="00F75B85" w:rsidP="009032A6">
            <w:pPr>
              <w:rPr>
                <w:rFonts w:ascii="Arial" w:hAnsi="Arial"/>
                <w:sz w:val="18"/>
                <w:szCs w:val="18"/>
              </w:rPr>
            </w:pPr>
            <w:r>
              <w:rPr>
                <w:rFonts w:ascii="Arial" w:hAnsi="Arial"/>
                <w:sz w:val="18"/>
                <w:szCs w:val="18"/>
              </w:rPr>
              <w:t xml:space="preserve">As a percentage of actual dollars received in the operating account for a month, the unmatched funds represents a </w:t>
            </w:r>
            <w:r w:rsidR="00926E93">
              <w:rPr>
                <w:rFonts w:ascii="Arial" w:hAnsi="Arial"/>
                <w:sz w:val="18"/>
                <w:szCs w:val="18"/>
              </w:rPr>
              <w:t xml:space="preserve">very </w:t>
            </w:r>
            <w:r>
              <w:rPr>
                <w:rFonts w:ascii="Arial" w:hAnsi="Arial"/>
                <w:sz w:val="18"/>
                <w:szCs w:val="18"/>
              </w:rPr>
              <w:t>small percentage.</w:t>
            </w:r>
            <w:r w:rsidR="00D83C28">
              <w:rPr>
                <w:rFonts w:ascii="Arial" w:hAnsi="Arial"/>
                <w:sz w:val="18"/>
                <w:szCs w:val="18"/>
              </w:rPr>
              <w:t xml:space="preserve">  </w:t>
            </w:r>
          </w:p>
          <w:p w:rsidR="009F1FED" w:rsidRPr="00192911" w:rsidRDefault="009F1FED"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NEXT STEPS</w:t>
            </w:r>
          </w:p>
          <w:p w:rsidR="00235F04" w:rsidRPr="00F75B85" w:rsidRDefault="00F75B85" w:rsidP="009032A6">
            <w:pPr>
              <w:rPr>
                <w:rFonts w:ascii="Arial" w:hAnsi="Arial"/>
                <w:sz w:val="18"/>
                <w:szCs w:val="18"/>
              </w:rPr>
            </w:pPr>
            <w:r>
              <w:rPr>
                <w:rFonts w:ascii="Arial" w:hAnsi="Arial"/>
                <w:sz w:val="18"/>
                <w:szCs w:val="18"/>
              </w:rPr>
              <w:t>B&amp;AO continues ongoing communication with our significant fund recipient so that we can continue to properly record incoming funds.  We have also recently implemented an aggressive reconciliation benchmark mandating that all funds of $50K or greater need to have documentation of attempts to locate the proper accounting of the funds.  All amounts less than $50K are not allowed to age more than six months before documentation is made regarding the efforts to find the proper recording.</w:t>
            </w:r>
          </w:p>
        </w:tc>
      </w:tr>
    </w:tbl>
    <w:p w:rsidR="003B3EFB" w:rsidRDefault="003B3EFB" w:rsidP="00BA28E9">
      <w:pPr>
        <w:rPr>
          <w:rFonts w:ascii="Arial" w:hAnsi="Arial" w:cs="Arial"/>
          <w:b/>
          <w:sz w:val="32"/>
          <w:szCs w:val="32"/>
        </w:rPr>
      </w:pPr>
    </w:p>
    <w:p w:rsidR="007B070D" w:rsidRDefault="007B070D" w:rsidP="007B070D">
      <w:pPr>
        <w:ind w:left="360"/>
        <w:jc w:val="center"/>
        <w:rPr>
          <w:rFonts w:ascii="Arial" w:hAnsi="Arial" w:cs="Arial"/>
          <w:b/>
          <w:sz w:val="32"/>
          <w:szCs w:val="32"/>
        </w:rPr>
      </w:pPr>
      <w:r>
        <w:rPr>
          <w:rFonts w:ascii="Arial" w:hAnsi="Arial" w:cs="Arial"/>
          <w:b/>
          <w:sz w:val="32"/>
          <w:szCs w:val="32"/>
        </w:rPr>
        <w:t>I</w:t>
      </w:r>
      <w:r w:rsidRPr="003A57ED">
        <w:rPr>
          <w:rFonts w:ascii="Arial" w:hAnsi="Arial" w:cs="Arial"/>
          <w:b/>
          <w:sz w:val="32"/>
          <w:szCs w:val="32"/>
        </w:rPr>
        <w:t xml:space="preserve">tem # </w:t>
      </w:r>
      <w:r w:rsidR="005C58DD">
        <w:rPr>
          <w:rFonts w:ascii="Arial" w:hAnsi="Arial" w:cs="Arial"/>
          <w:b/>
          <w:sz w:val="32"/>
          <w:szCs w:val="32"/>
        </w:rPr>
        <w:t>8</w:t>
      </w:r>
      <w:r w:rsidRPr="003A57ED">
        <w:rPr>
          <w:rFonts w:ascii="Arial" w:hAnsi="Arial" w:cs="Arial"/>
          <w:b/>
          <w:sz w:val="32"/>
          <w:szCs w:val="32"/>
        </w:rPr>
        <w:t xml:space="preserve">:  </w:t>
      </w:r>
      <w:r>
        <w:rPr>
          <w:rFonts w:ascii="Arial" w:hAnsi="Arial" w:cs="Arial"/>
          <w:b/>
          <w:sz w:val="32"/>
          <w:szCs w:val="32"/>
        </w:rPr>
        <w:t xml:space="preserve">Agency Accounts </w:t>
      </w:r>
      <w:r w:rsidR="00927F0C">
        <w:rPr>
          <w:rFonts w:ascii="Arial" w:hAnsi="Arial" w:cs="Arial"/>
          <w:b/>
          <w:sz w:val="32"/>
          <w:szCs w:val="32"/>
        </w:rPr>
        <w:t>in Deficit</w:t>
      </w:r>
    </w:p>
    <w:p w:rsidR="007B070D" w:rsidRDefault="007B070D" w:rsidP="007B070D">
      <w:pPr>
        <w:ind w:left="360"/>
        <w:jc w:val="center"/>
        <w:rPr>
          <w:rFonts w:ascii="Arial" w:hAnsi="Arial" w:cs="Arial"/>
          <w:b/>
          <w:sz w:val="32"/>
          <w:szCs w:val="32"/>
        </w:rPr>
      </w:pPr>
    </w:p>
    <w:tbl>
      <w:tblPr>
        <w:tblStyle w:val="TableGrid"/>
        <w:tblW w:w="0" w:type="auto"/>
        <w:tblLook w:val="01E0" w:firstRow="1" w:lastRow="1" w:firstColumn="1" w:lastColumn="1" w:noHBand="0" w:noVBand="0"/>
      </w:tblPr>
      <w:tblGrid>
        <w:gridCol w:w="10548"/>
        <w:gridCol w:w="3780"/>
      </w:tblGrid>
      <w:tr w:rsidR="007B070D" w:rsidTr="008E5CB9">
        <w:trPr>
          <w:trHeight w:val="8612"/>
        </w:trPr>
        <w:tc>
          <w:tcPr>
            <w:tcW w:w="10548" w:type="dxa"/>
          </w:tcPr>
          <w:p w:rsidR="007B070D" w:rsidRDefault="005D062D" w:rsidP="00424066">
            <w:pPr>
              <w:rPr>
                <w:rFonts w:ascii="Arial" w:hAnsi="Arial"/>
                <w:b/>
                <w:sz w:val="32"/>
              </w:rPr>
            </w:pPr>
            <w:r w:rsidRPr="00F72063">
              <w:rPr>
                <w:rFonts w:ascii="Arial" w:hAnsi="Arial"/>
                <w:b/>
                <w:sz w:val="32"/>
              </w:rPr>
              <w:object w:dxaOrig="10201" w:dyaOrig="4546">
                <v:shape id="_x0000_i1032" type="#_x0000_t75" style="width:510pt;height:214.5pt" o:ole="">
                  <v:imagedata r:id="rId25" o:title=""/>
                </v:shape>
                <o:OLEObject Type="Link" ProgID="Excel.Sheet.8" ShapeID="_x0000_i1032" DrawAspect="Content" r:id="rId26" UpdateMode="Always">
                  <o:LinkType>EnhancedMetaFile</o:LinkType>
                  <o:LockedField>false</o:LockedField>
                </o:OLEObject>
              </w:object>
            </w:r>
          </w:p>
          <w:p w:rsidR="004F35C2" w:rsidRPr="002F1970" w:rsidRDefault="0086082A" w:rsidP="00424066">
            <w:pPr>
              <w:rPr>
                <w:rFonts w:ascii="Arial" w:hAnsi="Arial"/>
                <w:b/>
                <w:sz w:val="32"/>
              </w:rPr>
            </w:pPr>
            <w:r w:rsidRPr="00F72063">
              <w:rPr>
                <w:rFonts w:ascii="Arial" w:hAnsi="Arial"/>
                <w:b/>
                <w:sz w:val="32"/>
              </w:rPr>
              <w:fldChar w:fldCharType="begin"/>
            </w:r>
            <w:r w:rsidRPr="00F72063">
              <w:rPr>
                <w:rFonts w:ascii="Arial" w:hAnsi="Arial"/>
                <w:b/>
                <w:sz w:val="32"/>
              </w:rPr>
              <w:instrText xml:space="preserve"> LINK </w:instrText>
            </w:r>
            <w:r w:rsidR="0073740D">
              <w:rPr>
                <w:rFonts w:ascii="Arial" w:hAnsi="Arial"/>
                <w:b/>
                <w:sz w:val="32"/>
              </w:rPr>
              <w:instrText xml:space="preserve">Excel.Sheet.8 "\\\\nebula2.washington.edu\\uw\\groups\\fin-mgmt\\fm-all\\FM Dashboard Central  Files\\Fin Acctng\\Agency accounts - budgets with debit balances.xls" "HMC &amp; WTC deficit chart![Agency accounts - budgets with debit balances.xls]HMC &amp; WTC deficit chart Chart 8" </w:instrText>
            </w:r>
            <w:r w:rsidRPr="00F72063">
              <w:rPr>
                <w:rFonts w:ascii="Arial" w:hAnsi="Arial"/>
                <w:b/>
                <w:sz w:val="32"/>
              </w:rPr>
              <w:instrText xml:space="preserve">\a \p \u \f in-mgmt \f m-all \f M \f in </w:instrText>
            </w:r>
            <w:r w:rsidRPr="00F72063">
              <w:rPr>
                <w:rFonts w:ascii="Arial" w:hAnsi="Arial"/>
                <w:b/>
                <w:sz w:val="32"/>
              </w:rPr>
              <w:fldChar w:fldCharType="separate"/>
            </w:r>
            <w:r w:rsidRPr="00F72063">
              <w:rPr>
                <w:rFonts w:ascii="Arial" w:hAnsi="Arial"/>
                <w:b/>
                <w:sz w:val="32"/>
              </w:rPr>
              <w:object w:dxaOrig="10200" w:dyaOrig="4275">
                <v:shape id="_x0000_i1033" type="#_x0000_t75" style="width:510pt;height:219pt" o:ole="">
                  <v:imagedata r:id="rId27" o:title=""/>
                </v:shape>
              </w:object>
            </w:r>
            <w:r w:rsidRPr="00F72063">
              <w:rPr>
                <w:rFonts w:ascii="Arial" w:hAnsi="Arial"/>
                <w:b/>
                <w:sz w:val="32"/>
              </w:rPr>
              <w:fldChar w:fldCharType="end"/>
            </w:r>
          </w:p>
        </w:tc>
        <w:tc>
          <w:tcPr>
            <w:tcW w:w="3780" w:type="dxa"/>
          </w:tcPr>
          <w:p w:rsidR="009F4D6E" w:rsidRDefault="009F4D6E" w:rsidP="00595CA8">
            <w:pPr>
              <w:rPr>
                <w:rFonts w:ascii="Arial" w:hAnsi="Arial"/>
                <w:b/>
                <w:sz w:val="18"/>
                <w:szCs w:val="18"/>
                <w:u w:val="single"/>
              </w:rPr>
            </w:pPr>
          </w:p>
          <w:p w:rsidR="00595CA8" w:rsidRDefault="00595CA8" w:rsidP="00595CA8">
            <w:pPr>
              <w:rPr>
                <w:rFonts w:ascii="Arial" w:hAnsi="Arial"/>
                <w:b/>
                <w:sz w:val="18"/>
                <w:szCs w:val="18"/>
                <w:u w:val="single"/>
              </w:rPr>
            </w:pPr>
            <w:r w:rsidRPr="00192911">
              <w:rPr>
                <w:rFonts w:ascii="Arial" w:hAnsi="Arial"/>
                <w:b/>
                <w:sz w:val="18"/>
                <w:szCs w:val="18"/>
                <w:u w:val="single"/>
              </w:rPr>
              <w:t>DEFINITION</w:t>
            </w:r>
          </w:p>
          <w:p w:rsidR="00595CA8" w:rsidRDefault="00595CA8" w:rsidP="00595CA8">
            <w:pPr>
              <w:rPr>
                <w:rFonts w:ascii="Arial" w:hAnsi="Arial"/>
                <w:sz w:val="18"/>
                <w:szCs w:val="18"/>
              </w:rPr>
            </w:pPr>
            <w:r>
              <w:rPr>
                <w:rFonts w:ascii="Arial" w:hAnsi="Arial"/>
                <w:sz w:val="18"/>
                <w:szCs w:val="18"/>
              </w:rPr>
              <w:t>Represents agency deficit amounts (i.e., dollar amounts owed by agencies to the University).  Agencies are supposed to have enough money on deposit with the UW to ensure that the UW is not in a position of “loaning” money.</w:t>
            </w:r>
          </w:p>
          <w:p w:rsidR="00595CA8" w:rsidRDefault="00595CA8"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ANALYSIS</w:t>
            </w:r>
          </w:p>
          <w:p w:rsidR="00AE600D" w:rsidRDefault="001C24DF" w:rsidP="00595CA8">
            <w:pPr>
              <w:rPr>
                <w:rFonts w:ascii="Arial" w:hAnsi="Arial"/>
                <w:sz w:val="18"/>
                <w:szCs w:val="18"/>
              </w:rPr>
            </w:pPr>
            <w:r>
              <w:rPr>
                <w:rFonts w:ascii="Arial" w:hAnsi="Arial"/>
                <w:sz w:val="18"/>
                <w:szCs w:val="18"/>
              </w:rPr>
              <w:t xml:space="preserve">The Agency Account debit balance total </w:t>
            </w:r>
            <w:r w:rsidR="000D6CAD">
              <w:rPr>
                <w:rFonts w:ascii="Arial" w:hAnsi="Arial"/>
                <w:sz w:val="18"/>
                <w:szCs w:val="18"/>
              </w:rPr>
              <w:t>was $155</w:t>
            </w:r>
            <w:r w:rsidR="00950F15">
              <w:rPr>
                <w:rFonts w:ascii="Arial" w:hAnsi="Arial"/>
                <w:sz w:val="18"/>
                <w:szCs w:val="18"/>
              </w:rPr>
              <w:t xml:space="preserve">K </w:t>
            </w:r>
            <w:r w:rsidR="00DD10BA">
              <w:rPr>
                <w:rFonts w:ascii="Arial" w:hAnsi="Arial"/>
                <w:sz w:val="18"/>
                <w:szCs w:val="18"/>
              </w:rPr>
              <w:t xml:space="preserve">at </w:t>
            </w:r>
            <w:r w:rsidR="000D6CAD">
              <w:rPr>
                <w:rFonts w:ascii="Arial" w:hAnsi="Arial"/>
                <w:sz w:val="18"/>
                <w:szCs w:val="18"/>
              </w:rPr>
              <w:t>December 31</w:t>
            </w:r>
            <w:r>
              <w:rPr>
                <w:rFonts w:ascii="Arial" w:hAnsi="Arial"/>
                <w:sz w:val="18"/>
                <w:szCs w:val="18"/>
              </w:rPr>
              <w:t>, 2011</w:t>
            </w:r>
            <w:r w:rsidR="00950F15">
              <w:rPr>
                <w:rFonts w:ascii="Arial" w:hAnsi="Arial"/>
                <w:sz w:val="18"/>
                <w:szCs w:val="18"/>
              </w:rPr>
              <w:t>, the</w:t>
            </w:r>
            <w:r>
              <w:rPr>
                <w:rFonts w:ascii="Arial" w:hAnsi="Arial"/>
                <w:sz w:val="18"/>
                <w:szCs w:val="18"/>
              </w:rPr>
              <w:t xml:space="preserve"> lowest in </w:t>
            </w:r>
            <w:r w:rsidR="000D6CAD">
              <w:rPr>
                <w:rFonts w:ascii="Arial" w:hAnsi="Arial"/>
                <w:sz w:val="18"/>
                <w:szCs w:val="18"/>
              </w:rPr>
              <w:t xml:space="preserve">nearly four </w:t>
            </w:r>
            <w:r w:rsidR="00BA28E9">
              <w:rPr>
                <w:rFonts w:ascii="Arial" w:hAnsi="Arial"/>
                <w:sz w:val="18"/>
                <w:szCs w:val="18"/>
              </w:rPr>
              <w:t xml:space="preserve">years.  </w:t>
            </w:r>
            <w:r w:rsidR="00595CA8" w:rsidRPr="00243530">
              <w:rPr>
                <w:rFonts w:ascii="Arial" w:hAnsi="Arial"/>
                <w:sz w:val="18"/>
                <w:szCs w:val="18"/>
              </w:rPr>
              <w:t xml:space="preserve"> </w:t>
            </w:r>
            <w:r w:rsidR="00B62DED">
              <w:rPr>
                <w:rFonts w:ascii="Arial" w:hAnsi="Arial"/>
                <w:sz w:val="18"/>
                <w:szCs w:val="18"/>
              </w:rPr>
              <w:t xml:space="preserve">At </w:t>
            </w:r>
            <w:r w:rsidR="000D6CAD">
              <w:rPr>
                <w:rFonts w:ascii="Arial" w:hAnsi="Arial"/>
                <w:sz w:val="18"/>
                <w:szCs w:val="18"/>
              </w:rPr>
              <w:t>December 31, 2011</w:t>
            </w:r>
            <w:r w:rsidR="00595CA8" w:rsidRPr="00243530">
              <w:rPr>
                <w:rFonts w:ascii="Arial" w:hAnsi="Arial"/>
                <w:sz w:val="18"/>
                <w:szCs w:val="18"/>
              </w:rPr>
              <w:t xml:space="preserve">, </w:t>
            </w:r>
            <w:r w:rsidR="008C2574">
              <w:rPr>
                <w:rFonts w:ascii="Arial" w:hAnsi="Arial"/>
                <w:sz w:val="18"/>
                <w:szCs w:val="18"/>
              </w:rPr>
              <w:t>Harborview Medical Center (</w:t>
            </w:r>
            <w:r>
              <w:rPr>
                <w:rFonts w:ascii="Arial" w:hAnsi="Arial"/>
                <w:sz w:val="18"/>
                <w:szCs w:val="18"/>
              </w:rPr>
              <w:t>HMC</w:t>
            </w:r>
            <w:r w:rsidR="00BA28E9">
              <w:rPr>
                <w:rFonts w:ascii="Arial" w:hAnsi="Arial"/>
                <w:sz w:val="18"/>
                <w:szCs w:val="18"/>
              </w:rPr>
              <w:t>) had</w:t>
            </w:r>
            <w:r w:rsidR="000D6CAD">
              <w:rPr>
                <w:rFonts w:ascii="Arial" w:hAnsi="Arial"/>
                <w:sz w:val="18"/>
                <w:szCs w:val="18"/>
              </w:rPr>
              <w:t xml:space="preserve"> a positive balance </w:t>
            </w:r>
            <w:r>
              <w:rPr>
                <w:rFonts w:ascii="Arial" w:hAnsi="Arial"/>
                <w:sz w:val="18"/>
                <w:szCs w:val="18"/>
              </w:rPr>
              <w:t xml:space="preserve">and </w:t>
            </w:r>
            <w:r w:rsidR="008C2574">
              <w:rPr>
                <w:rFonts w:ascii="Arial" w:hAnsi="Arial"/>
                <w:sz w:val="18"/>
                <w:szCs w:val="18"/>
              </w:rPr>
              <w:t>Washington Technology Center (</w:t>
            </w:r>
            <w:r>
              <w:rPr>
                <w:rFonts w:ascii="Arial" w:hAnsi="Arial"/>
                <w:sz w:val="18"/>
                <w:szCs w:val="18"/>
              </w:rPr>
              <w:t>WTC</w:t>
            </w:r>
            <w:r w:rsidR="008C2574">
              <w:rPr>
                <w:rFonts w:ascii="Arial" w:hAnsi="Arial"/>
                <w:sz w:val="18"/>
                <w:szCs w:val="18"/>
              </w:rPr>
              <w:t>)</w:t>
            </w:r>
            <w:r w:rsidR="00DD10BA">
              <w:rPr>
                <w:rFonts w:ascii="Arial" w:hAnsi="Arial"/>
                <w:sz w:val="18"/>
                <w:szCs w:val="18"/>
              </w:rPr>
              <w:t xml:space="preserve"> had </w:t>
            </w:r>
            <w:r w:rsidR="000D6CAD">
              <w:rPr>
                <w:rFonts w:ascii="Arial" w:hAnsi="Arial"/>
                <w:sz w:val="18"/>
                <w:szCs w:val="18"/>
              </w:rPr>
              <w:t xml:space="preserve">an </w:t>
            </w:r>
            <w:r w:rsidR="00DD10BA">
              <w:rPr>
                <w:rFonts w:ascii="Arial" w:hAnsi="Arial"/>
                <w:sz w:val="18"/>
                <w:szCs w:val="18"/>
              </w:rPr>
              <w:t>unusually low</w:t>
            </w:r>
            <w:r>
              <w:rPr>
                <w:rFonts w:ascii="Arial" w:hAnsi="Arial"/>
                <w:sz w:val="18"/>
                <w:szCs w:val="18"/>
              </w:rPr>
              <w:t xml:space="preserve"> deficit balance </w:t>
            </w:r>
            <w:r w:rsidR="00B62DED">
              <w:rPr>
                <w:rFonts w:ascii="Arial" w:hAnsi="Arial"/>
                <w:sz w:val="18"/>
                <w:szCs w:val="18"/>
              </w:rPr>
              <w:t xml:space="preserve">of </w:t>
            </w:r>
            <w:r w:rsidR="00DD10BA">
              <w:rPr>
                <w:rFonts w:ascii="Arial" w:hAnsi="Arial"/>
                <w:sz w:val="18"/>
                <w:szCs w:val="18"/>
              </w:rPr>
              <w:t>$</w:t>
            </w:r>
            <w:r w:rsidR="000D6CAD">
              <w:rPr>
                <w:rFonts w:ascii="Arial" w:hAnsi="Arial"/>
                <w:sz w:val="18"/>
                <w:szCs w:val="18"/>
              </w:rPr>
              <w:t>98</w:t>
            </w:r>
            <w:r w:rsidR="00DD10BA">
              <w:rPr>
                <w:rFonts w:ascii="Arial" w:hAnsi="Arial"/>
                <w:sz w:val="18"/>
                <w:szCs w:val="18"/>
              </w:rPr>
              <w:t>K</w:t>
            </w:r>
            <w:r>
              <w:rPr>
                <w:rFonts w:ascii="Arial" w:hAnsi="Arial"/>
                <w:sz w:val="18"/>
                <w:szCs w:val="18"/>
              </w:rPr>
              <w:t xml:space="preserve">.  The remaining agency accounts in </w:t>
            </w:r>
            <w:r w:rsidR="00BA28E9">
              <w:rPr>
                <w:rFonts w:ascii="Arial" w:hAnsi="Arial"/>
                <w:sz w:val="18"/>
                <w:szCs w:val="18"/>
              </w:rPr>
              <w:t>deficit had</w:t>
            </w:r>
            <w:r w:rsidR="008C2574">
              <w:rPr>
                <w:rFonts w:ascii="Arial" w:hAnsi="Arial"/>
                <w:sz w:val="18"/>
                <w:szCs w:val="18"/>
              </w:rPr>
              <w:t xml:space="preserve"> a combined debit balance </w:t>
            </w:r>
            <w:r w:rsidR="00BA28E9">
              <w:rPr>
                <w:rFonts w:ascii="Arial" w:hAnsi="Arial"/>
                <w:sz w:val="18"/>
                <w:szCs w:val="18"/>
              </w:rPr>
              <w:t>of $</w:t>
            </w:r>
            <w:r w:rsidR="00A8269A">
              <w:rPr>
                <w:rFonts w:ascii="Arial" w:hAnsi="Arial"/>
                <w:sz w:val="18"/>
                <w:szCs w:val="18"/>
              </w:rPr>
              <w:t>57</w:t>
            </w:r>
            <w:r>
              <w:rPr>
                <w:rFonts w:ascii="Arial" w:hAnsi="Arial"/>
                <w:sz w:val="18"/>
                <w:szCs w:val="18"/>
              </w:rPr>
              <w:t>K.</w:t>
            </w:r>
          </w:p>
          <w:p w:rsidR="001C24DF" w:rsidRPr="00192911" w:rsidRDefault="001C24DF"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NEXT STEPS</w:t>
            </w:r>
          </w:p>
          <w:p w:rsidR="00595CA8" w:rsidRDefault="00595CA8" w:rsidP="00595CA8">
            <w:pPr>
              <w:rPr>
                <w:rFonts w:ascii="Arial" w:hAnsi="Arial"/>
                <w:sz w:val="18"/>
                <w:szCs w:val="18"/>
              </w:rPr>
            </w:pPr>
            <w:r>
              <w:rPr>
                <w:rFonts w:ascii="Arial" w:hAnsi="Arial"/>
                <w:sz w:val="18"/>
                <w:szCs w:val="18"/>
              </w:rPr>
              <w:t>We will continue to remind organizations with ongoing deficit balances that they are obligated to maintain credit balances in their agency accounts.</w:t>
            </w:r>
          </w:p>
          <w:p w:rsidR="00595CA8" w:rsidRDefault="00595CA8" w:rsidP="00595CA8">
            <w:pPr>
              <w:rPr>
                <w:rFonts w:ascii="Arial" w:hAnsi="Arial"/>
                <w:sz w:val="18"/>
                <w:szCs w:val="18"/>
              </w:rPr>
            </w:pPr>
          </w:p>
          <w:p w:rsidR="00595CA8" w:rsidRDefault="00DD10BA" w:rsidP="00595CA8">
            <w:pPr>
              <w:rPr>
                <w:rFonts w:ascii="Arial" w:hAnsi="Arial"/>
                <w:sz w:val="18"/>
                <w:szCs w:val="18"/>
              </w:rPr>
            </w:pPr>
            <w:r>
              <w:rPr>
                <w:rFonts w:ascii="Arial" w:hAnsi="Arial"/>
                <w:sz w:val="18"/>
                <w:szCs w:val="18"/>
              </w:rPr>
              <w:t xml:space="preserve">On </w:t>
            </w:r>
            <w:r w:rsidR="00595CA8">
              <w:rPr>
                <w:rFonts w:ascii="Arial" w:hAnsi="Arial"/>
                <w:sz w:val="18"/>
                <w:szCs w:val="18"/>
              </w:rPr>
              <w:t xml:space="preserve">March 8, 2010 the University implemented a deficit resolution policy.  </w:t>
            </w:r>
          </w:p>
          <w:p w:rsidR="00595CA8" w:rsidRDefault="00595CA8" w:rsidP="00595CA8">
            <w:pPr>
              <w:rPr>
                <w:rFonts w:ascii="Arial" w:hAnsi="Arial"/>
                <w:sz w:val="18"/>
                <w:szCs w:val="18"/>
              </w:rPr>
            </w:pPr>
          </w:p>
          <w:p w:rsidR="00595CA8" w:rsidRPr="008E6D0C" w:rsidRDefault="00595CA8" w:rsidP="00595CA8">
            <w:pPr>
              <w:rPr>
                <w:rFonts w:ascii="Arial" w:hAnsi="Arial"/>
                <w:sz w:val="18"/>
                <w:szCs w:val="18"/>
                <w:u w:val="single"/>
              </w:rPr>
            </w:pPr>
            <w:r>
              <w:rPr>
                <w:rFonts w:ascii="Arial" w:hAnsi="Arial"/>
                <w:i/>
                <w:sz w:val="18"/>
                <w:szCs w:val="18"/>
                <w:u w:val="single"/>
              </w:rPr>
              <w:t>B</w:t>
            </w:r>
            <w:r w:rsidRPr="008E6D0C">
              <w:rPr>
                <w:rFonts w:ascii="Arial" w:hAnsi="Arial"/>
                <w:i/>
                <w:sz w:val="18"/>
                <w:szCs w:val="18"/>
                <w:u w:val="single"/>
              </w:rPr>
              <w:t xml:space="preserve">udgets in deficit for &gt;2 </w:t>
            </w:r>
            <w:r>
              <w:rPr>
                <w:rFonts w:ascii="Arial" w:hAnsi="Arial"/>
                <w:i/>
                <w:sz w:val="18"/>
                <w:szCs w:val="18"/>
                <w:u w:val="single"/>
              </w:rPr>
              <w:t xml:space="preserve">consecutive </w:t>
            </w:r>
            <w:r w:rsidRPr="008E6D0C">
              <w:rPr>
                <w:rFonts w:ascii="Arial" w:hAnsi="Arial"/>
                <w:i/>
                <w:sz w:val="18"/>
                <w:szCs w:val="18"/>
                <w:u w:val="single"/>
              </w:rPr>
              <w:t>months</w:t>
            </w:r>
            <w:r w:rsidRPr="008E6D0C">
              <w:rPr>
                <w:rFonts w:ascii="Arial" w:hAnsi="Arial"/>
                <w:sz w:val="18"/>
                <w:szCs w:val="18"/>
                <w:u w:val="single"/>
              </w:rPr>
              <w:t xml:space="preserve"> </w:t>
            </w:r>
          </w:p>
          <w:p w:rsidR="00595CA8" w:rsidRDefault="00595CA8" w:rsidP="00595CA8">
            <w:pPr>
              <w:rPr>
                <w:rFonts w:ascii="Arial" w:hAnsi="Arial"/>
                <w:sz w:val="18"/>
                <w:szCs w:val="18"/>
              </w:rPr>
            </w:pPr>
            <w:r>
              <w:rPr>
                <w:rFonts w:ascii="Arial" w:hAnsi="Arial"/>
                <w:sz w:val="18"/>
                <w:szCs w:val="18"/>
              </w:rPr>
              <w:t>Budget will be assessed an interest charge at the current internal lending program rate.  That rate is currently 5.5%.</w:t>
            </w:r>
          </w:p>
          <w:p w:rsidR="00595CA8" w:rsidRDefault="00595CA8" w:rsidP="00595CA8">
            <w:pPr>
              <w:rPr>
                <w:rFonts w:ascii="Arial" w:hAnsi="Arial"/>
                <w:sz w:val="18"/>
                <w:szCs w:val="18"/>
              </w:rPr>
            </w:pPr>
          </w:p>
          <w:p w:rsidR="00595CA8" w:rsidRDefault="00595CA8" w:rsidP="00595CA8">
            <w:pPr>
              <w:rPr>
                <w:rFonts w:ascii="Arial" w:hAnsi="Arial"/>
                <w:i/>
                <w:sz w:val="18"/>
                <w:szCs w:val="18"/>
                <w:u w:val="single"/>
              </w:rPr>
            </w:pPr>
            <w:r w:rsidRPr="008E6D0C">
              <w:rPr>
                <w:rFonts w:ascii="Arial" w:hAnsi="Arial"/>
                <w:i/>
                <w:sz w:val="18"/>
                <w:szCs w:val="18"/>
                <w:u w:val="single"/>
              </w:rPr>
              <w:t xml:space="preserve">Inactive agency budgets w/deficit balances </w:t>
            </w:r>
          </w:p>
          <w:p w:rsidR="008E6D0C" w:rsidRPr="008E6D0C" w:rsidRDefault="00595CA8" w:rsidP="008530FD">
            <w:pPr>
              <w:rPr>
                <w:rFonts w:ascii="Arial" w:hAnsi="Arial"/>
                <w:sz w:val="18"/>
                <w:szCs w:val="18"/>
              </w:rPr>
            </w:pPr>
            <w:r>
              <w:rPr>
                <w:rFonts w:ascii="Arial" w:hAnsi="Arial"/>
                <w:sz w:val="18"/>
                <w:szCs w:val="18"/>
              </w:rPr>
              <w:t xml:space="preserve">Dept. responsible for covering deficit.  If dept. fails to cover deficit in a timely manner Fin. Acctg. </w:t>
            </w:r>
            <w:proofErr w:type="gramStart"/>
            <w:r>
              <w:rPr>
                <w:rFonts w:ascii="Arial" w:hAnsi="Arial"/>
                <w:sz w:val="18"/>
                <w:szCs w:val="18"/>
              </w:rPr>
              <w:t>will</w:t>
            </w:r>
            <w:proofErr w:type="gramEnd"/>
            <w:r>
              <w:rPr>
                <w:rFonts w:ascii="Arial" w:hAnsi="Arial"/>
                <w:sz w:val="18"/>
                <w:szCs w:val="18"/>
              </w:rPr>
              <w:t xml:space="preserve"> charge the </w:t>
            </w:r>
            <w:r w:rsidR="008530FD">
              <w:rPr>
                <w:rFonts w:ascii="Arial" w:hAnsi="Arial"/>
                <w:sz w:val="18"/>
                <w:szCs w:val="18"/>
              </w:rPr>
              <w:t>department’s</w:t>
            </w:r>
            <w:r>
              <w:rPr>
                <w:rFonts w:ascii="Arial" w:hAnsi="Arial"/>
                <w:sz w:val="18"/>
                <w:szCs w:val="18"/>
              </w:rPr>
              <w:t xml:space="preserve"> oper</w:t>
            </w:r>
            <w:r w:rsidR="008530FD">
              <w:rPr>
                <w:rFonts w:ascii="Arial" w:hAnsi="Arial"/>
                <w:sz w:val="18"/>
                <w:szCs w:val="18"/>
              </w:rPr>
              <w:t>ating</w:t>
            </w:r>
            <w:r>
              <w:rPr>
                <w:rFonts w:ascii="Arial" w:hAnsi="Arial"/>
                <w:sz w:val="18"/>
                <w:szCs w:val="18"/>
              </w:rPr>
              <w:t xml:space="preserve"> budget.</w:t>
            </w:r>
          </w:p>
        </w:tc>
      </w:tr>
    </w:tbl>
    <w:p w:rsidR="00DF511F" w:rsidRDefault="00DF511F" w:rsidP="00DF511F">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Pr>
          <w:rFonts w:ascii="Arial" w:hAnsi="Arial" w:cs="Arial"/>
          <w:b/>
          <w:sz w:val="32"/>
          <w:szCs w:val="32"/>
        </w:rPr>
        <w:t>9</w:t>
      </w:r>
      <w:r w:rsidRPr="003A57ED">
        <w:rPr>
          <w:rFonts w:ascii="Arial" w:hAnsi="Arial" w:cs="Arial"/>
          <w:b/>
          <w:sz w:val="32"/>
          <w:szCs w:val="32"/>
        </w:rPr>
        <w:t xml:space="preserve">:  </w:t>
      </w:r>
      <w:r>
        <w:rPr>
          <w:rFonts w:ascii="Arial" w:hAnsi="Arial" w:cs="Arial"/>
          <w:b/>
          <w:sz w:val="32"/>
          <w:szCs w:val="32"/>
        </w:rPr>
        <w:t>Dollar Amount of Overdue Field Advances</w:t>
      </w:r>
    </w:p>
    <w:p w:rsidR="00DF511F" w:rsidRDefault="00DF511F" w:rsidP="00DF511F">
      <w:pPr>
        <w:ind w:left="360"/>
        <w:jc w:val="center"/>
        <w:rPr>
          <w:rFonts w:ascii="Arial" w:hAnsi="Arial" w:cs="Arial"/>
          <w:b/>
          <w:sz w:val="32"/>
          <w:szCs w:val="32"/>
        </w:rPr>
      </w:pPr>
    </w:p>
    <w:tbl>
      <w:tblPr>
        <w:tblStyle w:val="TableGrid"/>
        <w:tblW w:w="0" w:type="auto"/>
        <w:tblLook w:val="01E0" w:firstRow="1" w:lastRow="1" w:firstColumn="1" w:lastColumn="1" w:noHBand="0" w:noVBand="0"/>
      </w:tblPr>
      <w:tblGrid>
        <w:gridCol w:w="11649"/>
        <w:gridCol w:w="2679"/>
      </w:tblGrid>
      <w:tr w:rsidR="00DF511F" w:rsidTr="00415CDB">
        <w:trPr>
          <w:trHeight w:val="8612"/>
        </w:trPr>
        <w:tc>
          <w:tcPr>
            <w:tcW w:w="11628" w:type="dxa"/>
          </w:tcPr>
          <w:p w:rsidR="007B2DA1" w:rsidRPr="002F1970" w:rsidRDefault="00542C85" w:rsidP="00650B2D">
            <w:pPr>
              <w:rPr>
                <w:rFonts w:ascii="Arial" w:hAnsi="Arial"/>
                <w:b/>
                <w:sz w:val="32"/>
              </w:rPr>
            </w:pPr>
            <w:r>
              <w:rPr>
                <w:rFonts w:ascii="Arial" w:hAnsi="Arial"/>
                <w:b/>
                <w:noProof/>
                <w:sz w:val="32"/>
              </w:rPr>
              <w:drawing>
                <wp:inline distT="0" distB="0" distL="0" distR="0">
                  <wp:extent cx="7241463" cy="5276850"/>
                  <wp:effectExtent l="19050" t="0" r="0" b="0"/>
                  <wp:docPr id="2" name="Picture 1" descr="FAdashboardDe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ashboardDec11.JPG"/>
                          <pic:cNvPicPr/>
                        </pic:nvPicPr>
                        <pic:blipFill>
                          <a:blip r:embed="rId28" cstate="print"/>
                          <a:stretch>
                            <a:fillRect/>
                          </a:stretch>
                        </pic:blipFill>
                        <pic:spPr>
                          <a:xfrm>
                            <a:off x="0" y="0"/>
                            <a:ext cx="7248109" cy="5281693"/>
                          </a:xfrm>
                          <a:prstGeom prst="rect">
                            <a:avLst/>
                          </a:prstGeom>
                        </pic:spPr>
                      </pic:pic>
                    </a:graphicData>
                  </a:graphic>
                </wp:inline>
              </w:drawing>
            </w:r>
          </w:p>
        </w:tc>
        <w:tc>
          <w:tcPr>
            <w:tcW w:w="2700" w:type="dxa"/>
          </w:tcPr>
          <w:p w:rsidR="00DF511F" w:rsidRDefault="00DF511F" w:rsidP="00650B2D">
            <w:pPr>
              <w:rPr>
                <w:rFonts w:ascii="Arial" w:hAnsi="Arial"/>
                <w:b/>
                <w:sz w:val="18"/>
                <w:szCs w:val="18"/>
                <w:u w:val="single"/>
              </w:rPr>
            </w:pPr>
          </w:p>
          <w:p w:rsidR="00DF511F" w:rsidRDefault="00DF511F" w:rsidP="00650B2D">
            <w:pPr>
              <w:rPr>
                <w:rFonts w:ascii="Arial" w:hAnsi="Arial"/>
                <w:b/>
                <w:sz w:val="18"/>
                <w:szCs w:val="18"/>
                <w:u w:val="single"/>
              </w:rPr>
            </w:pPr>
            <w:r w:rsidRPr="00192911">
              <w:rPr>
                <w:rFonts w:ascii="Arial" w:hAnsi="Arial"/>
                <w:b/>
                <w:sz w:val="18"/>
                <w:szCs w:val="18"/>
                <w:u w:val="single"/>
              </w:rPr>
              <w:t>DEFINITION</w:t>
            </w:r>
          </w:p>
          <w:p w:rsidR="00DF511F" w:rsidRDefault="00C146D0" w:rsidP="00650B2D">
            <w:pPr>
              <w:rPr>
                <w:rFonts w:ascii="Arial" w:hAnsi="Arial"/>
                <w:sz w:val="18"/>
                <w:szCs w:val="18"/>
              </w:rPr>
            </w:pPr>
            <w:r>
              <w:rPr>
                <w:rFonts w:ascii="Arial" w:hAnsi="Arial"/>
                <w:sz w:val="18"/>
                <w:szCs w:val="18"/>
              </w:rPr>
              <w:t>A field advance is an advance of funds to a UW employee for research or educational projects.  An accounting of how those funds were spent, and appropriate backup documentation, is due to our office within 30 days of the end of the project.</w:t>
            </w:r>
          </w:p>
          <w:p w:rsidR="00DF511F" w:rsidRDefault="00DF511F"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ANALYSIS</w:t>
            </w:r>
          </w:p>
          <w:p w:rsidR="00DF511F" w:rsidRDefault="00C146D0" w:rsidP="00650B2D">
            <w:pPr>
              <w:rPr>
                <w:rFonts w:ascii="Arial" w:hAnsi="Arial"/>
                <w:sz w:val="18"/>
                <w:szCs w:val="18"/>
              </w:rPr>
            </w:pPr>
            <w:r>
              <w:rPr>
                <w:rFonts w:ascii="Arial" w:hAnsi="Arial"/>
                <w:sz w:val="18"/>
                <w:szCs w:val="18"/>
              </w:rPr>
              <w:t xml:space="preserve">Field Advances are held for a six month period of time.  The reporting for spent funds is expected within 30 days of the end of the six month period.  Although a perfect scenario would be that there is no overdue reporting, as a percentage of loaned funds we see that most of the overdue reporting is from Office of Int’l Programs &amp; Exchanges (IPE).  IPE has a close working relationship with its Field Advance custodians and most of the IPE past due reporting is due to procedural slowdowns at the IPE central admin office.  </w:t>
            </w:r>
          </w:p>
          <w:p w:rsidR="004A3703" w:rsidRPr="00192911" w:rsidRDefault="004A3703"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NEXT STEPS</w:t>
            </w:r>
          </w:p>
          <w:p w:rsidR="00DF511F" w:rsidRPr="00CA2A0D" w:rsidRDefault="00C146D0" w:rsidP="00650B2D">
            <w:pPr>
              <w:rPr>
                <w:rFonts w:ascii="Arial" w:hAnsi="Arial"/>
                <w:sz w:val="18"/>
                <w:szCs w:val="18"/>
              </w:rPr>
            </w:pPr>
            <w:r>
              <w:rPr>
                <w:rFonts w:ascii="Arial" w:hAnsi="Arial"/>
                <w:sz w:val="18"/>
                <w:szCs w:val="18"/>
              </w:rPr>
              <w:t>B&amp;AO has begun an analysis of past due as a percentage of recent loaned amounts.  Also, we continue to communicate with IPE and other Field Advance custodians to ensure that the Overdue Field Advance dollars are not at risk.</w:t>
            </w:r>
          </w:p>
        </w:tc>
      </w:tr>
    </w:tbl>
    <w:p w:rsidR="00AC5FB4" w:rsidRPr="00AC5FB4" w:rsidRDefault="00AC5FB4" w:rsidP="00AC5FB4">
      <w:pPr>
        <w:jc w:val="center"/>
        <w:rPr>
          <w:rFonts w:ascii="Arial" w:hAnsi="Arial" w:cs="Arial"/>
          <w:b/>
          <w:sz w:val="2"/>
          <w:szCs w:val="32"/>
        </w:rPr>
      </w:pPr>
    </w:p>
    <w:sectPr w:rsidR="00AC5FB4" w:rsidRPr="00AC5FB4" w:rsidSect="002D2507">
      <w:footerReference w:type="first" r:id="rId29"/>
      <w:footnotePr>
        <w:numFmt w:val="chicago"/>
      </w:footnotePr>
      <w:pgSz w:w="15840" w:h="12240" w:orient="landscape" w:code="1"/>
      <w:pgMar w:top="1080" w:right="734" w:bottom="720"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13" w:rsidRDefault="005C1413">
      <w:r>
        <w:separator/>
      </w:r>
    </w:p>
  </w:endnote>
  <w:endnote w:type="continuationSeparator" w:id="0">
    <w:p w:rsidR="005C1413" w:rsidRDefault="005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13" w:rsidRDefault="005C1413" w:rsidP="004D2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413" w:rsidRDefault="005C14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13" w:rsidRDefault="005C1413" w:rsidP="00871BBF">
    <w:pPr>
      <w:pStyle w:val="Footer"/>
    </w:pPr>
    <w:r>
      <w:t>Financial Management, University of Washington</w:t>
    </w:r>
    <w:r>
      <w:tab/>
      <w:t xml:space="preserve">                                                       </w:t>
    </w:r>
    <w:r>
      <w:rPr>
        <w:rStyle w:val="PageNumber"/>
      </w:rPr>
      <w:fldChar w:fldCharType="begin"/>
    </w:r>
    <w:r>
      <w:rPr>
        <w:rStyle w:val="PageNumber"/>
      </w:rPr>
      <w:instrText xml:space="preserve"> PAGE </w:instrText>
    </w:r>
    <w:r>
      <w:rPr>
        <w:rStyle w:val="PageNumber"/>
      </w:rPr>
      <w:fldChar w:fldCharType="separate"/>
    </w:r>
    <w:r w:rsidR="00CE381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E381C">
      <w:rPr>
        <w:rStyle w:val="PageNumber"/>
        <w:noProof/>
      </w:rPr>
      <w:t>11</w:t>
    </w:r>
    <w:r>
      <w:rPr>
        <w:rStyle w:val="PageNumber"/>
      </w:rPr>
      <w:fldChar w:fldCharType="end"/>
    </w:r>
    <w:r>
      <w:tab/>
      <w:t xml:space="preserve">                                                      Report Contact:  Dan Schaaf</w:t>
    </w:r>
  </w:p>
  <w:p w:rsidR="005C1413" w:rsidRPr="00363B73" w:rsidRDefault="005C1413" w:rsidP="00871BBF">
    <w:pPr>
      <w:pStyle w:val="Footer"/>
    </w:pPr>
    <w:r>
      <w:t xml:space="preserve">Financial Accounting Operational Dashboard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13" w:rsidRPr="00874E2C" w:rsidRDefault="005C1413"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13" w:rsidRPr="00874E2C" w:rsidRDefault="005C1413"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13" w:rsidRDefault="005C1413">
      <w:r>
        <w:separator/>
      </w:r>
    </w:p>
  </w:footnote>
  <w:footnote w:type="continuationSeparator" w:id="0">
    <w:p w:rsidR="005C1413" w:rsidRDefault="005C1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B78"/>
    <w:multiLevelType w:val="hybridMultilevel"/>
    <w:tmpl w:val="53CE9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85947"/>
    <w:multiLevelType w:val="hybridMultilevel"/>
    <w:tmpl w:val="7EE2078C"/>
    <w:lvl w:ilvl="0" w:tplc="0CFC97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14A05"/>
    <w:multiLevelType w:val="hybridMultilevel"/>
    <w:tmpl w:val="5FA6E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8524D"/>
    <w:multiLevelType w:val="hybridMultilevel"/>
    <w:tmpl w:val="72F6E22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C6E3E"/>
    <w:multiLevelType w:val="hybridMultilevel"/>
    <w:tmpl w:val="603C6C40"/>
    <w:lvl w:ilvl="0" w:tplc="5FDAAD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46C44"/>
    <w:multiLevelType w:val="hybridMultilevel"/>
    <w:tmpl w:val="782A4202"/>
    <w:lvl w:ilvl="0" w:tplc="73BC95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14E6C"/>
    <w:multiLevelType w:val="hybridMultilevel"/>
    <w:tmpl w:val="760C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17A58"/>
    <w:multiLevelType w:val="hybridMultilevel"/>
    <w:tmpl w:val="84CCF1C2"/>
    <w:lvl w:ilvl="0" w:tplc="9800BDD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84CDF"/>
    <w:multiLevelType w:val="hybridMultilevel"/>
    <w:tmpl w:val="13086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D05A10"/>
    <w:multiLevelType w:val="hybridMultilevel"/>
    <w:tmpl w:val="5F7229C0"/>
    <w:lvl w:ilvl="0" w:tplc="BC4C287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5971DE"/>
    <w:multiLevelType w:val="hybridMultilevel"/>
    <w:tmpl w:val="6576C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B7566"/>
    <w:multiLevelType w:val="hybridMultilevel"/>
    <w:tmpl w:val="41D28D42"/>
    <w:lvl w:ilvl="0" w:tplc="BAAA9C4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1F68"/>
    <w:multiLevelType w:val="hybridMultilevel"/>
    <w:tmpl w:val="5BD8FC22"/>
    <w:lvl w:ilvl="0" w:tplc="C2D29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8"/>
  </w:num>
  <w:num w:numId="5">
    <w:abstractNumId w:val="0"/>
  </w:num>
  <w:num w:numId="6">
    <w:abstractNumId w:val="4"/>
  </w:num>
  <w:num w:numId="7">
    <w:abstractNumId w:val="2"/>
  </w:num>
  <w:num w:numId="8">
    <w:abstractNumId w:val="3"/>
  </w:num>
  <w:num w:numId="9">
    <w:abstractNumId w:val="7"/>
  </w:num>
  <w:num w:numId="10">
    <w:abstractNumId w:val="9"/>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bD+CoJpMX89ensi/xMuxhYaGGCE=" w:salt="W4WmzO7SnXI7gA0I9ke9Tg=="/>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71F3"/>
    <w:rsid w:val="0000026B"/>
    <w:rsid w:val="000027D5"/>
    <w:rsid w:val="00002F14"/>
    <w:rsid w:val="00003033"/>
    <w:rsid w:val="00003F45"/>
    <w:rsid w:val="000041E7"/>
    <w:rsid w:val="0000450F"/>
    <w:rsid w:val="00005519"/>
    <w:rsid w:val="000058FB"/>
    <w:rsid w:val="0000643E"/>
    <w:rsid w:val="000134D0"/>
    <w:rsid w:val="000139F3"/>
    <w:rsid w:val="00013EF6"/>
    <w:rsid w:val="00013F12"/>
    <w:rsid w:val="000140D2"/>
    <w:rsid w:val="000143F6"/>
    <w:rsid w:val="000158A3"/>
    <w:rsid w:val="00015A1F"/>
    <w:rsid w:val="00016120"/>
    <w:rsid w:val="00017173"/>
    <w:rsid w:val="000177D2"/>
    <w:rsid w:val="0002032C"/>
    <w:rsid w:val="000210EA"/>
    <w:rsid w:val="000217DC"/>
    <w:rsid w:val="00022166"/>
    <w:rsid w:val="00022830"/>
    <w:rsid w:val="00023B9F"/>
    <w:rsid w:val="00023D02"/>
    <w:rsid w:val="00025371"/>
    <w:rsid w:val="0002705D"/>
    <w:rsid w:val="00030292"/>
    <w:rsid w:val="00031B35"/>
    <w:rsid w:val="00032623"/>
    <w:rsid w:val="00033443"/>
    <w:rsid w:val="0003427A"/>
    <w:rsid w:val="0003543E"/>
    <w:rsid w:val="00036420"/>
    <w:rsid w:val="00037306"/>
    <w:rsid w:val="00040710"/>
    <w:rsid w:val="00043D0C"/>
    <w:rsid w:val="00044081"/>
    <w:rsid w:val="00044093"/>
    <w:rsid w:val="000461AA"/>
    <w:rsid w:val="000462F8"/>
    <w:rsid w:val="000471D7"/>
    <w:rsid w:val="00050A58"/>
    <w:rsid w:val="00050C4F"/>
    <w:rsid w:val="00051455"/>
    <w:rsid w:val="00051AE2"/>
    <w:rsid w:val="0005363A"/>
    <w:rsid w:val="000564E4"/>
    <w:rsid w:val="0005654B"/>
    <w:rsid w:val="000575BC"/>
    <w:rsid w:val="000600DB"/>
    <w:rsid w:val="00060DB4"/>
    <w:rsid w:val="0006131C"/>
    <w:rsid w:val="00062515"/>
    <w:rsid w:val="000626CC"/>
    <w:rsid w:val="00062972"/>
    <w:rsid w:val="00063D47"/>
    <w:rsid w:val="00064180"/>
    <w:rsid w:val="00064BD3"/>
    <w:rsid w:val="00064D52"/>
    <w:rsid w:val="00065A20"/>
    <w:rsid w:val="00065AC5"/>
    <w:rsid w:val="0006619D"/>
    <w:rsid w:val="00066602"/>
    <w:rsid w:val="00067B1A"/>
    <w:rsid w:val="00070607"/>
    <w:rsid w:val="00070D50"/>
    <w:rsid w:val="00071699"/>
    <w:rsid w:val="00072939"/>
    <w:rsid w:val="000748B2"/>
    <w:rsid w:val="000806D8"/>
    <w:rsid w:val="00081185"/>
    <w:rsid w:val="00081659"/>
    <w:rsid w:val="000822E9"/>
    <w:rsid w:val="000838B4"/>
    <w:rsid w:val="00083C5E"/>
    <w:rsid w:val="00084ED6"/>
    <w:rsid w:val="00086135"/>
    <w:rsid w:val="00086257"/>
    <w:rsid w:val="00086A58"/>
    <w:rsid w:val="00087151"/>
    <w:rsid w:val="0008782F"/>
    <w:rsid w:val="00087F15"/>
    <w:rsid w:val="00091B21"/>
    <w:rsid w:val="00092B7E"/>
    <w:rsid w:val="0009589F"/>
    <w:rsid w:val="00095CB5"/>
    <w:rsid w:val="00096427"/>
    <w:rsid w:val="000A1490"/>
    <w:rsid w:val="000A1A75"/>
    <w:rsid w:val="000A1B88"/>
    <w:rsid w:val="000A225E"/>
    <w:rsid w:val="000A3CAA"/>
    <w:rsid w:val="000A45A1"/>
    <w:rsid w:val="000A745B"/>
    <w:rsid w:val="000B07DC"/>
    <w:rsid w:val="000B0EAB"/>
    <w:rsid w:val="000B1F81"/>
    <w:rsid w:val="000B2F09"/>
    <w:rsid w:val="000B38F2"/>
    <w:rsid w:val="000B3919"/>
    <w:rsid w:val="000B4729"/>
    <w:rsid w:val="000B52A3"/>
    <w:rsid w:val="000B628A"/>
    <w:rsid w:val="000C0209"/>
    <w:rsid w:val="000C0B2D"/>
    <w:rsid w:val="000C1C7D"/>
    <w:rsid w:val="000C256F"/>
    <w:rsid w:val="000C2806"/>
    <w:rsid w:val="000C36C2"/>
    <w:rsid w:val="000C6946"/>
    <w:rsid w:val="000C7CDE"/>
    <w:rsid w:val="000D0C72"/>
    <w:rsid w:val="000D0CBA"/>
    <w:rsid w:val="000D24EC"/>
    <w:rsid w:val="000D295E"/>
    <w:rsid w:val="000D4915"/>
    <w:rsid w:val="000D5A4C"/>
    <w:rsid w:val="000D6797"/>
    <w:rsid w:val="000D6B5F"/>
    <w:rsid w:val="000D6CAD"/>
    <w:rsid w:val="000D743B"/>
    <w:rsid w:val="000E0B9B"/>
    <w:rsid w:val="000E1252"/>
    <w:rsid w:val="000E2D74"/>
    <w:rsid w:val="000E303D"/>
    <w:rsid w:val="000E36FA"/>
    <w:rsid w:val="000E3B6D"/>
    <w:rsid w:val="000E3F33"/>
    <w:rsid w:val="000E461D"/>
    <w:rsid w:val="000E5129"/>
    <w:rsid w:val="000E5166"/>
    <w:rsid w:val="000E5576"/>
    <w:rsid w:val="000E6ADA"/>
    <w:rsid w:val="000E6FC9"/>
    <w:rsid w:val="000E7720"/>
    <w:rsid w:val="000F08A5"/>
    <w:rsid w:val="000F1442"/>
    <w:rsid w:val="000F197A"/>
    <w:rsid w:val="000F22BC"/>
    <w:rsid w:val="000F2637"/>
    <w:rsid w:val="000F5F2B"/>
    <w:rsid w:val="000F7C75"/>
    <w:rsid w:val="00100C57"/>
    <w:rsid w:val="00103611"/>
    <w:rsid w:val="0010472D"/>
    <w:rsid w:val="00107244"/>
    <w:rsid w:val="00107249"/>
    <w:rsid w:val="00107970"/>
    <w:rsid w:val="00113BA3"/>
    <w:rsid w:val="00116FFD"/>
    <w:rsid w:val="0011719E"/>
    <w:rsid w:val="00122C84"/>
    <w:rsid w:val="0012333E"/>
    <w:rsid w:val="00124648"/>
    <w:rsid w:val="00124893"/>
    <w:rsid w:val="001248C4"/>
    <w:rsid w:val="00124D35"/>
    <w:rsid w:val="001309C6"/>
    <w:rsid w:val="00131033"/>
    <w:rsid w:val="001316A5"/>
    <w:rsid w:val="0013339F"/>
    <w:rsid w:val="00134329"/>
    <w:rsid w:val="00135B5E"/>
    <w:rsid w:val="00137D9B"/>
    <w:rsid w:val="00141D94"/>
    <w:rsid w:val="00143D0A"/>
    <w:rsid w:val="00145664"/>
    <w:rsid w:val="00145E73"/>
    <w:rsid w:val="00146159"/>
    <w:rsid w:val="00147192"/>
    <w:rsid w:val="00150F37"/>
    <w:rsid w:val="00152134"/>
    <w:rsid w:val="001527FF"/>
    <w:rsid w:val="00152FD4"/>
    <w:rsid w:val="00153820"/>
    <w:rsid w:val="0015387C"/>
    <w:rsid w:val="00155C65"/>
    <w:rsid w:val="0015613C"/>
    <w:rsid w:val="0015720F"/>
    <w:rsid w:val="0016081A"/>
    <w:rsid w:val="001615B3"/>
    <w:rsid w:val="00161FBA"/>
    <w:rsid w:val="00162F61"/>
    <w:rsid w:val="00164621"/>
    <w:rsid w:val="00165354"/>
    <w:rsid w:val="001660AD"/>
    <w:rsid w:val="00166FC9"/>
    <w:rsid w:val="001676EC"/>
    <w:rsid w:val="001705E1"/>
    <w:rsid w:val="001709D6"/>
    <w:rsid w:val="001710A3"/>
    <w:rsid w:val="00171CA4"/>
    <w:rsid w:val="00171CC9"/>
    <w:rsid w:val="00172BA1"/>
    <w:rsid w:val="00172DDE"/>
    <w:rsid w:val="00177149"/>
    <w:rsid w:val="00177270"/>
    <w:rsid w:val="00177316"/>
    <w:rsid w:val="00177C71"/>
    <w:rsid w:val="001818D0"/>
    <w:rsid w:val="0018197B"/>
    <w:rsid w:val="00182BED"/>
    <w:rsid w:val="00182DAE"/>
    <w:rsid w:val="00184207"/>
    <w:rsid w:val="0018580A"/>
    <w:rsid w:val="00185EF8"/>
    <w:rsid w:val="001903FD"/>
    <w:rsid w:val="00192911"/>
    <w:rsid w:val="00193D5F"/>
    <w:rsid w:val="0019621F"/>
    <w:rsid w:val="00196CFC"/>
    <w:rsid w:val="001A0CDF"/>
    <w:rsid w:val="001A194A"/>
    <w:rsid w:val="001A261A"/>
    <w:rsid w:val="001A32C6"/>
    <w:rsid w:val="001A3D76"/>
    <w:rsid w:val="001A44CB"/>
    <w:rsid w:val="001A59A3"/>
    <w:rsid w:val="001A60AA"/>
    <w:rsid w:val="001A6E10"/>
    <w:rsid w:val="001A6F84"/>
    <w:rsid w:val="001A711B"/>
    <w:rsid w:val="001A721D"/>
    <w:rsid w:val="001B08CE"/>
    <w:rsid w:val="001B0FDA"/>
    <w:rsid w:val="001B1778"/>
    <w:rsid w:val="001B1810"/>
    <w:rsid w:val="001B1D1A"/>
    <w:rsid w:val="001B1EAE"/>
    <w:rsid w:val="001B2D55"/>
    <w:rsid w:val="001B3FC4"/>
    <w:rsid w:val="001B63FC"/>
    <w:rsid w:val="001B6954"/>
    <w:rsid w:val="001B712F"/>
    <w:rsid w:val="001C209B"/>
    <w:rsid w:val="001C24DF"/>
    <w:rsid w:val="001C26DC"/>
    <w:rsid w:val="001C3931"/>
    <w:rsid w:val="001C6C90"/>
    <w:rsid w:val="001D0274"/>
    <w:rsid w:val="001D0303"/>
    <w:rsid w:val="001D0A6D"/>
    <w:rsid w:val="001D16AE"/>
    <w:rsid w:val="001D1FE9"/>
    <w:rsid w:val="001D5AA9"/>
    <w:rsid w:val="001D6CA3"/>
    <w:rsid w:val="001E0B8D"/>
    <w:rsid w:val="001E1A25"/>
    <w:rsid w:val="001E2679"/>
    <w:rsid w:val="001E485F"/>
    <w:rsid w:val="001E68F2"/>
    <w:rsid w:val="001E7162"/>
    <w:rsid w:val="001E7A1D"/>
    <w:rsid w:val="001F406F"/>
    <w:rsid w:val="001F459D"/>
    <w:rsid w:val="001F4633"/>
    <w:rsid w:val="001F4883"/>
    <w:rsid w:val="001F48EB"/>
    <w:rsid w:val="001F5390"/>
    <w:rsid w:val="001F692E"/>
    <w:rsid w:val="00200CB9"/>
    <w:rsid w:val="002011CE"/>
    <w:rsid w:val="00201818"/>
    <w:rsid w:val="0020394A"/>
    <w:rsid w:val="00205ACE"/>
    <w:rsid w:val="0020705E"/>
    <w:rsid w:val="002076FF"/>
    <w:rsid w:val="002105F8"/>
    <w:rsid w:val="00210843"/>
    <w:rsid w:val="002111A0"/>
    <w:rsid w:val="00211BE4"/>
    <w:rsid w:val="00212919"/>
    <w:rsid w:val="0021354A"/>
    <w:rsid w:val="00213AB3"/>
    <w:rsid w:val="00213C48"/>
    <w:rsid w:val="00214342"/>
    <w:rsid w:val="0021454C"/>
    <w:rsid w:val="00216083"/>
    <w:rsid w:val="00216224"/>
    <w:rsid w:val="00216B06"/>
    <w:rsid w:val="00217B29"/>
    <w:rsid w:val="002206B1"/>
    <w:rsid w:val="00221BA2"/>
    <w:rsid w:val="0022213F"/>
    <w:rsid w:val="00222174"/>
    <w:rsid w:val="00222E7A"/>
    <w:rsid w:val="00223A29"/>
    <w:rsid w:val="00224AD4"/>
    <w:rsid w:val="00224EEE"/>
    <w:rsid w:val="00225637"/>
    <w:rsid w:val="00226080"/>
    <w:rsid w:val="002262B7"/>
    <w:rsid w:val="00230097"/>
    <w:rsid w:val="00231BF8"/>
    <w:rsid w:val="002323FD"/>
    <w:rsid w:val="00232404"/>
    <w:rsid w:val="00235280"/>
    <w:rsid w:val="00235297"/>
    <w:rsid w:val="00235F04"/>
    <w:rsid w:val="00240A23"/>
    <w:rsid w:val="00240B74"/>
    <w:rsid w:val="002426E1"/>
    <w:rsid w:val="00243530"/>
    <w:rsid w:val="0024392C"/>
    <w:rsid w:val="00244B55"/>
    <w:rsid w:val="00247ED4"/>
    <w:rsid w:val="002516C3"/>
    <w:rsid w:val="002525CF"/>
    <w:rsid w:val="00252B4E"/>
    <w:rsid w:val="00252B71"/>
    <w:rsid w:val="0025358F"/>
    <w:rsid w:val="00253AB6"/>
    <w:rsid w:val="00253EC6"/>
    <w:rsid w:val="00254890"/>
    <w:rsid w:val="00254954"/>
    <w:rsid w:val="0025536C"/>
    <w:rsid w:val="00255409"/>
    <w:rsid w:val="0025569E"/>
    <w:rsid w:val="00255ACF"/>
    <w:rsid w:val="00255AE3"/>
    <w:rsid w:val="00257169"/>
    <w:rsid w:val="00260191"/>
    <w:rsid w:val="002603DF"/>
    <w:rsid w:val="00260F38"/>
    <w:rsid w:val="00262954"/>
    <w:rsid w:val="00262A26"/>
    <w:rsid w:val="00263271"/>
    <w:rsid w:val="0026485C"/>
    <w:rsid w:val="002671CC"/>
    <w:rsid w:val="0026786A"/>
    <w:rsid w:val="00267F5B"/>
    <w:rsid w:val="00270426"/>
    <w:rsid w:val="00271AD1"/>
    <w:rsid w:val="00271C37"/>
    <w:rsid w:val="00272529"/>
    <w:rsid w:val="0027255B"/>
    <w:rsid w:val="0027471C"/>
    <w:rsid w:val="0028023E"/>
    <w:rsid w:val="0028052B"/>
    <w:rsid w:val="00280F32"/>
    <w:rsid w:val="002815F7"/>
    <w:rsid w:val="00281EF3"/>
    <w:rsid w:val="00281EFD"/>
    <w:rsid w:val="002822BF"/>
    <w:rsid w:val="00282464"/>
    <w:rsid w:val="002839C4"/>
    <w:rsid w:val="00284391"/>
    <w:rsid w:val="0028655F"/>
    <w:rsid w:val="00286878"/>
    <w:rsid w:val="00286B5C"/>
    <w:rsid w:val="0028747A"/>
    <w:rsid w:val="0029080B"/>
    <w:rsid w:val="002928F1"/>
    <w:rsid w:val="00292D1F"/>
    <w:rsid w:val="00293949"/>
    <w:rsid w:val="002942F7"/>
    <w:rsid w:val="00295910"/>
    <w:rsid w:val="002972E1"/>
    <w:rsid w:val="00297B4E"/>
    <w:rsid w:val="002A07BC"/>
    <w:rsid w:val="002A10E7"/>
    <w:rsid w:val="002A2FE5"/>
    <w:rsid w:val="002A319F"/>
    <w:rsid w:val="002A4138"/>
    <w:rsid w:val="002A42AE"/>
    <w:rsid w:val="002A5BEC"/>
    <w:rsid w:val="002A625B"/>
    <w:rsid w:val="002A729C"/>
    <w:rsid w:val="002A7983"/>
    <w:rsid w:val="002B020C"/>
    <w:rsid w:val="002B1BD6"/>
    <w:rsid w:val="002B1D35"/>
    <w:rsid w:val="002B245F"/>
    <w:rsid w:val="002B2699"/>
    <w:rsid w:val="002B4F6B"/>
    <w:rsid w:val="002B612C"/>
    <w:rsid w:val="002B6CA4"/>
    <w:rsid w:val="002B6E0A"/>
    <w:rsid w:val="002B7668"/>
    <w:rsid w:val="002C15D0"/>
    <w:rsid w:val="002C1896"/>
    <w:rsid w:val="002C30FC"/>
    <w:rsid w:val="002C40CB"/>
    <w:rsid w:val="002C54AD"/>
    <w:rsid w:val="002C55EC"/>
    <w:rsid w:val="002C5E05"/>
    <w:rsid w:val="002C649E"/>
    <w:rsid w:val="002C64F2"/>
    <w:rsid w:val="002C6BD5"/>
    <w:rsid w:val="002D027B"/>
    <w:rsid w:val="002D2507"/>
    <w:rsid w:val="002D36C6"/>
    <w:rsid w:val="002D416E"/>
    <w:rsid w:val="002D42CF"/>
    <w:rsid w:val="002D5BA2"/>
    <w:rsid w:val="002D6610"/>
    <w:rsid w:val="002D661F"/>
    <w:rsid w:val="002D7115"/>
    <w:rsid w:val="002E0371"/>
    <w:rsid w:val="002E0B08"/>
    <w:rsid w:val="002E0D55"/>
    <w:rsid w:val="002E19E8"/>
    <w:rsid w:val="002E289E"/>
    <w:rsid w:val="002E2C13"/>
    <w:rsid w:val="002E3F86"/>
    <w:rsid w:val="002E60C3"/>
    <w:rsid w:val="002E6122"/>
    <w:rsid w:val="002E65B0"/>
    <w:rsid w:val="002F0179"/>
    <w:rsid w:val="002F183F"/>
    <w:rsid w:val="002F1970"/>
    <w:rsid w:val="002F1DB6"/>
    <w:rsid w:val="002F3BD5"/>
    <w:rsid w:val="002F3E48"/>
    <w:rsid w:val="002F4459"/>
    <w:rsid w:val="002F4B31"/>
    <w:rsid w:val="002F63F0"/>
    <w:rsid w:val="002F75D3"/>
    <w:rsid w:val="002F7AF2"/>
    <w:rsid w:val="00300492"/>
    <w:rsid w:val="0030213F"/>
    <w:rsid w:val="0030458C"/>
    <w:rsid w:val="003045D6"/>
    <w:rsid w:val="0030677C"/>
    <w:rsid w:val="0030691D"/>
    <w:rsid w:val="00310FAE"/>
    <w:rsid w:val="00310FB5"/>
    <w:rsid w:val="0031111E"/>
    <w:rsid w:val="00311327"/>
    <w:rsid w:val="00314984"/>
    <w:rsid w:val="00314C9C"/>
    <w:rsid w:val="003150EF"/>
    <w:rsid w:val="0031590A"/>
    <w:rsid w:val="003175CF"/>
    <w:rsid w:val="00317B80"/>
    <w:rsid w:val="00320658"/>
    <w:rsid w:val="00323AF6"/>
    <w:rsid w:val="00323CBF"/>
    <w:rsid w:val="003249E6"/>
    <w:rsid w:val="00324C24"/>
    <w:rsid w:val="00327132"/>
    <w:rsid w:val="00327EC4"/>
    <w:rsid w:val="003309F7"/>
    <w:rsid w:val="003310A8"/>
    <w:rsid w:val="0033166E"/>
    <w:rsid w:val="0033169E"/>
    <w:rsid w:val="00332BC2"/>
    <w:rsid w:val="00333541"/>
    <w:rsid w:val="003339D4"/>
    <w:rsid w:val="0033556D"/>
    <w:rsid w:val="00335C6A"/>
    <w:rsid w:val="00336CB5"/>
    <w:rsid w:val="00336D26"/>
    <w:rsid w:val="003419F6"/>
    <w:rsid w:val="00342068"/>
    <w:rsid w:val="0034278A"/>
    <w:rsid w:val="00342B2C"/>
    <w:rsid w:val="00343337"/>
    <w:rsid w:val="00343C6C"/>
    <w:rsid w:val="00343F65"/>
    <w:rsid w:val="003442FF"/>
    <w:rsid w:val="0034574D"/>
    <w:rsid w:val="003458C1"/>
    <w:rsid w:val="00347010"/>
    <w:rsid w:val="0035107C"/>
    <w:rsid w:val="00351B73"/>
    <w:rsid w:val="0035215C"/>
    <w:rsid w:val="00352BB0"/>
    <w:rsid w:val="00353057"/>
    <w:rsid w:val="0035333B"/>
    <w:rsid w:val="00353694"/>
    <w:rsid w:val="003549AC"/>
    <w:rsid w:val="00355033"/>
    <w:rsid w:val="00355CC6"/>
    <w:rsid w:val="00355F0D"/>
    <w:rsid w:val="003565E7"/>
    <w:rsid w:val="00356CF6"/>
    <w:rsid w:val="0035704F"/>
    <w:rsid w:val="00361BFC"/>
    <w:rsid w:val="00361F8E"/>
    <w:rsid w:val="00362F54"/>
    <w:rsid w:val="00363637"/>
    <w:rsid w:val="00363A27"/>
    <w:rsid w:val="00363B51"/>
    <w:rsid w:val="00363B73"/>
    <w:rsid w:val="00364FA0"/>
    <w:rsid w:val="00365ADA"/>
    <w:rsid w:val="00370362"/>
    <w:rsid w:val="00370480"/>
    <w:rsid w:val="00370C7B"/>
    <w:rsid w:val="00370C91"/>
    <w:rsid w:val="00371EE5"/>
    <w:rsid w:val="00373C13"/>
    <w:rsid w:val="003750DA"/>
    <w:rsid w:val="00375BA7"/>
    <w:rsid w:val="00376DDF"/>
    <w:rsid w:val="00377142"/>
    <w:rsid w:val="0037760F"/>
    <w:rsid w:val="00377CB0"/>
    <w:rsid w:val="00377E91"/>
    <w:rsid w:val="003812E1"/>
    <w:rsid w:val="003814EF"/>
    <w:rsid w:val="00381AE4"/>
    <w:rsid w:val="00383B9C"/>
    <w:rsid w:val="003847F1"/>
    <w:rsid w:val="00386B47"/>
    <w:rsid w:val="003908D0"/>
    <w:rsid w:val="003908D6"/>
    <w:rsid w:val="00391CFA"/>
    <w:rsid w:val="00391DC1"/>
    <w:rsid w:val="00392247"/>
    <w:rsid w:val="00392B56"/>
    <w:rsid w:val="00392D51"/>
    <w:rsid w:val="00392D7E"/>
    <w:rsid w:val="003954A4"/>
    <w:rsid w:val="00396E7F"/>
    <w:rsid w:val="003A0BD9"/>
    <w:rsid w:val="003A123A"/>
    <w:rsid w:val="003A1DA8"/>
    <w:rsid w:val="003A22C1"/>
    <w:rsid w:val="003A27CF"/>
    <w:rsid w:val="003A33F5"/>
    <w:rsid w:val="003A4905"/>
    <w:rsid w:val="003A57ED"/>
    <w:rsid w:val="003A5E33"/>
    <w:rsid w:val="003A641D"/>
    <w:rsid w:val="003A6D7C"/>
    <w:rsid w:val="003A778F"/>
    <w:rsid w:val="003B100E"/>
    <w:rsid w:val="003B175B"/>
    <w:rsid w:val="003B2DDA"/>
    <w:rsid w:val="003B38E6"/>
    <w:rsid w:val="003B3EFB"/>
    <w:rsid w:val="003B46CD"/>
    <w:rsid w:val="003B52F6"/>
    <w:rsid w:val="003B545F"/>
    <w:rsid w:val="003B55EA"/>
    <w:rsid w:val="003B62D8"/>
    <w:rsid w:val="003B637B"/>
    <w:rsid w:val="003B6F33"/>
    <w:rsid w:val="003B747A"/>
    <w:rsid w:val="003C0F55"/>
    <w:rsid w:val="003C4712"/>
    <w:rsid w:val="003C4719"/>
    <w:rsid w:val="003C4EB5"/>
    <w:rsid w:val="003C52B0"/>
    <w:rsid w:val="003C6517"/>
    <w:rsid w:val="003C6B84"/>
    <w:rsid w:val="003D1F02"/>
    <w:rsid w:val="003D35C4"/>
    <w:rsid w:val="003D4593"/>
    <w:rsid w:val="003D4961"/>
    <w:rsid w:val="003D5950"/>
    <w:rsid w:val="003D60C5"/>
    <w:rsid w:val="003D71BC"/>
    <w:rsid w:val="003D7DB3"/>
    <w:rsid w:val="003E08AB"/>
    <w:rsid w:val="003E0AE2"/>
    <w:rsid w:val="003E1B17"/>
    <w:rsid w:val="003E3F67"/>
    <w:rsid w:val="003E4753"/>
    <w:rsid w:val="003E4935"/>
    <w:rsid w:val="003E555F"/>
    <w:rsid w:val="003E5710"/>
    <w:rsid w:val="003E6133"/>
    <w:rsid w:val="003E63F2"/>
    <w:rsid w:val="003E7884"/>
    <w:rsid w:val="003F0D02"/>
    <w:rsid w:val="003F2238"/>
    <w:rsid w:val="003F3B67"/>
    <w:rsid w:val="003F5562"/>
    <w:rsid w:val="003F6C43"/>
    <w:rsid w:val="0040003F"/>
    <w:rsid w:val="00400A44"/>
    <w:rsid w:val="00401862"/>
    <w:rsid w:val="00401C87"/>
    <w:rsid w:val="00402EC3"/>
    <w:rsid w:val="00403919"/>
    <w:rsid w:val="00404411"/>
    <w:rsid w:val="004045F6"/>
    <w:rsid w:val="00404795"/>
    <w:rsid w:val="0040536D"/>
    <w:rsid w:val="00405BF1"/>
    <w:rsid w:val="00406763"/>
    <w:rsid w:val="00407680"/>
    <w:rsid w:val="0041080B"/>
    <w:rsid w:val="004109DD"/>
    <w:rsid w:val="00411710"/>
    <w:rsid w:val="00412FBA"/>
    <w:rsid w:val="004151B5"/>
    <w:rsid w:val="0041554F"/>
    <w:rsid w:val="00415CDB"/>
    <w:rsid w:val="00415D4D"/>
    <w:rsid w:val="00416648"/>
    <w:rsid w:val="00416F09"/>
    <w:rsid w:val="004171F3"/>
    <w:rsid w:val="004206D9"/>
    <w:rsid w:val="00420E88"/>
    <w:rsid w:val="00421069"/>
    <w:rsid w:val="004227D6"/>
    <w:rsid w:val="0042280E"/>
    <w:rsid w:val="00422C09"/>
    <w:rsid w:val="00422CB5"/>
    <w:rsid w:val="00423B3D"/>
    <w:rsid w:val="00423E32"/>
    <w:rsid w:val="00424066"/>
    <w:rsid w:val="004240BD"/>
    <w:rsid w:val="00424C18"/>
    <w:rsid w:val="00424C60"/>
    <w:rsid w:val="0042635D"/>
    <w:rsid w:val="0042726E"/>
    <w:rsid w:val="004300B7"/>
    <w:rsid w:val="004306BA"/>
    <w:rsid w:val="00431995"/>
    <w:rsid w:val="00432308"/>
    <w:rsid w:val="00435423"/>
    <w:rsid w:val="00440A3F"/>
    <w:rsid w:val="0044186D"/>
    <w:rsid w:val="00441AC5"/>
    <w:rsid w:val="00442132"/>
    <w:rsid w:val="00443BE4"/>
    <w:rsid w:val="00444781"/>
    <w:rsid w:val="00445496"/>
    <w:rsid w:val="00446527"/>
    <w:rsid w:val="00446F91"/>
    <w:rsid w:val="00450347"/>
    <w:rsid w:val="00453164"/>
    <w:rsid w:val="0045412D"/>
    <w:rsid w:val="0045468D"/>
    <w:rsid w:val="004558BB"/>
    <w:rsid w:val="004579CD"/>
    <w:rsid w:val="00464C2A"/>
    <w:rsid w:val="00465084"/>
    <w:rsid w:val="00466450"/>
    <w:rsid w:val="00471016"/>
    <w:rsid w:val="0047143F"/>
    <w:rsid w:val="00472383"/>
    <w:rsid w:val="0047292E"/>
    <w:rsid w:val="00472EB7"/>
    <w:rsid w:val="00472EDE"/>
    <w:rsid w:val="004737DA"/>
    <w:rsid w:val="00474669"/>
    <w:rsid w:val="00474E05"/>
    <w:rsid w:val="0047512E"/>
    <w:rsid w:val="004800CB"/>
    <w:rsid w:val="00480184"/>
    <w:rsid w:val="00480960"/>
    <w:rsid w:val="004828C5"/>
    <w:rsid w:val="00483C87"/>
    <w:rsid w:val="004849BB"/>
    <w:rsid w:val="004864A8"/>
    <w:rsid w:val="00487B33"/>
    <w:rsid w:val="00490AEF"/>
    <w:rsid w:val="004938D1"/>
    <w:rsid w:val="00493CE5"/>
    <w:rsid w:val="00496268"/>
    <w:rsid w:val="00496C39"/>
    <w:rsid w:val="004A0856"/>
    <w:rsid w:val="004A0A05"/>
    <w:rsid w:val="004A18FA"/>
    <w:rsid w:val="004A3290"/>
    <w:rsid w:val="004A36C2"/>
    <w:rsid w:val="004A3703"/>
    <w:rsid w:val="004A3C12"/>
    <w:rsid w:val="004A3FCD"/>
    <w:rsid w:val="004B12E0"/>
    <w:rsid w:val="004B36E2"/>
    <w:rsid w:val="004B3A5E"/>
    <w:rsid w:val="004B4703"/>
    <w:rsid w:val="004B6E71"/>
    <w:rsid w:val="004C0CE3"/>
    <w:rsid w:val="004C1131"/>
    <w:rsid w:val="004C1257"/>
    <w:rsid w:val="004C13D5"/>
    <w:rsid w:val="004C180F"/>
    <w:rsid w:val="004C7603"/>
    <w:rsid w:val="004C7765"/>
    <w:rsid w:val="004D014C"/>
    <w:rsid w:val="004D0FB1"/>
    <w:rsid w:val="004D2F2C"/>
    <w:rsid w:val="004D37C7"/>
    <w:rsid w:val="004D3AA7"/>
    <w:rsid w:val="004D43A3"/>
    <w:rsid w:val="004D4447"/>
    <w:rsid w:val="004D4715"/>
    <w:rsid w:val="004D4AE0"/>
    <w:rsid w:val="004D5131"/>
    <w:rsid w:val="004D6F00"/>
    <w:rsid w:val="004D7DCE"/>
    <w:rsid w:val="004E1083"/>
    <w:rsid w:val="004E1383"/>
    <w:rsid w:val="004E249C"/>
    <w:rsid w:val="004E2C2F"/>
    <w:rsid w:val="004E361B"/>
    <w:rsid w:val="004E5720"/>
    <w:rsid w:val="004E6050"/>
    <w:rsid w:val="004E7B31"/>
    <w:rsid w:val="004F2784"/>
    <w:rsid w:val="004F35C2"/>
    <w:rsid w:val="004F5CEA"/>
    <w:rsid w:val="004F5D19"/>
    <w:rsid w:val="004F61C8"/>
    <w:rsid w:val="004F68B3"/>
    <w:rsid w:val="004F7D03"/>
    <w:rsid w:val="005007E5"/>
    <w:rsid w:val="00500F00"/>
    <w:rsid w:val="00501B5B"/>
    <w:rsid w:val="005041F9"/>
    <w:rsid w:val="00504475"/>
    <w:rsid w:val="005057C8"/>
    <w:rsid w:val="005065CA"/>
    <w:rsid w:val="00507A21"/>
    <w:rsid w:val="00507E23"/>
    <w:rsid w:val="005130D3"/>
    <w:rsid w:val="00513342"/>
    <w:rsid w:val="005162BF"/>
    <w:rsid w:val="00516B43"/>
    <w:rsid w:val="005170C2"/>
    <w:rsid w:val="005202D9"/>
    <w:rsid w:val="0052290D"/>
    <w:rsid w:val="00522FAB"/>
    <w:rsid w:val="005274DD"/>
    <w:rsid w:val="00527609"/>
    <w:rsid w:val="00527F1C"/>
    <w:rsid w:val="00530BE1"/>
    <w:rsid w:val="00532408"/>
    <w:rsid w:val="00534848"/>
    <w:rsid w:val="00534E28"/>
    <w:rsid w:val="00537294"/>
    <w:rsid w:val="00537527"/>
    <w:rsid w:val="005376E0"/>
    <w:rsid w:val="00541B25"/>
    <w:rsid w:val="005427ED"/>
    <w:rsid w:val="00542C85"/>
    <w:rsid w:val="0054315D"/>
    <w:rsid w:val="0054412D"/>
    <w:rsid w:val="005441EC"/>
    <w:rsid w:val="0054434E"/>
    <w:rsid w:val="0054509B"/>
    <w:rsid w:val="00545A7C"/>
    <w:rsid w:val="00545B57"/>
    <w:rsid w:val="00545D12"/>
    <w:rsid w:val="00545F19"/>
    <w:rsid w:val="00547FBE"/>
    <w:rsid w:val="005522D6"/>
    <w:rsid w:val="005543E0"/>
    <w:rsid w:val="00554A7B"/>
    <w:rsid w:val="005564F7"/>
    <w:rsid w:val="0056076A"/>
    <w:rsid w:val="0056236D"/>
    <w:rsid w:val="00563573"/>
    <w:rsid w:val="00563D6D"/>
    <w:rsid w:val="00563E33"/>
    <w:rsid w:val="00563F19"/>
    <w:rsid w:val="005653F9"/>
    <w:rsid w:val="0056558D"/>
    <w:rsid w:val="00567A4B"/>
    <w:rsid w:val="0057009B"/>
    <w:rsid w:val="00570A00"/>
    <w:rsid w:val="00572A2C"/>
    <w:rsid w:val="0057394C"/>
    <w:rsid w:val="005768A3"/>
    <w:rsid w:val="0057690C"/>
    <w:rsid w:val="00576DA0"/>
    <w:rsid w:val="005803DD"/>
    <w:rsid w:val="005803FE"/>
    <w:rsid w:val="005829D3"/>
    <w:rsid w:val="00584190"/>
    <w:rsid w:val="005845A3"/>
    <w:rsid w:val="005859ED"/>
    <w:rsid w:val="00585D00"/>
    <w:rsid w:val="00586165"/>
    <w:rsid w:val="0058632E"/>
    <w:rsid w:val="00586DF9"/>
    <w:rsid w:val="005872A6"/>
    <w:rsid w:val="005900B6"/>
    <w:rsid w:val="00593D53"/>
    <w:rsid w:val="00594646"/>
    <w:rsid w:val="005957F8"/>
    <w:rsid w:val="00595CA8"/>
    <w:rsid w:val="0059641D"/>
    <w:rsid w:val="005969D1"/>
    <w:rsid w:val="00596A4D"/>
    <w:rsid w:val="005A014F"/>
    <w:rsid w:val="005A06A3"/>
    <w:rsid w:val="005A0EFC"/>
    <w:rsid w:val="005A19A7"/>
    <w:rsid w:val="005A4B8F"/>
    <w:rsid w:val="005A502B"/>
    <w:rsid w:val="005A58E7"/>
    <w:rsid w:val="005A6FC9"/>
    <w:rsid w:val="005B0CD4"/>
    <w:rsid w:val="005B1D27"/>
    <w:rsid w:val="005B2568"/>
    <w:rsid w:val="005B2739"/>
    <w:rsid w:val="005B2D86"/>
    <w:rsid w:val="005B4C4D"/>
    <w:rsid w:val="005B73C2"/>
    <w:rsid w:val="005C039F"/>
    <w:rsid w:val="005C0B76"/>
    <w:rsid w:val="005C1413"/>
    <w:rsid w:val="005C1441"/>
    <w:rsid w:val="005C14D6"/>
    <w:rsid w:val="005C1F3B"/>
    <w:rsid w:val="005C26B1"/>
    <w:rsid w:val="005C39C9"/>
    <w:rsid w:val="005C4323"/>
    <w:rsid w:val="005C4DEC"/>
    <w:rsid w:val="005C56D6"/>
    <w:rsid w:val="005C58DD"/>
    <w:rsid w:val="005C6C83"/>
    <w:rsid w:val="005C72A6"/>
    <w:rsid w:val="005C7C62"/>
    <w:rsid w:val="005D01AE"/>
    <w:rsid w:val="005D062D"/>
    <w:rsid w:val="005D15A1"/>
    <w:rsid w:val="005D1D00"/>
    <w:rsid w:val="005D4B07"/>
    <w:rsid w:val="005D4F0D"/>
    <w:rsid w:val="005D52F8"/>
    <w:rsid w:val="005D718A"/>
    <w:rsid w:val="005D7734"/>
    <w:rsid w:val="005E0EA6"/>
    <w:rsid w:val="005E328D"/>
    <w:rsid w:val="005E357C"/>
    <w:rsid w:val="005E3C67"/>
    <w:rsid w:val="005E43FD"/>
    <w:rsid w:val="005E4B72"/>
    <w:rsid w:val="005E4C59"/>
    <w:rsid w:val="005E4E64"/>
    <w:rsid w:val="005E5D89"/>
    <w:rsid w:val="005E6544"/>
    <w:rsid w:val="005E69B6"/>
    <w:rsid w:val="005F1AF2"/>
    <w:rsid w:val="005F3266"/>
    <w:rsid w:val="005F3E24"/>
    <w:rsid w:val="005F4881"/>
    <w:rsid w:val="005F4E4C"/>
    <w:rsid w:val="005F5229"/>
    <w:rsid w:val="005F751D"/>
    <w:rsid w:val="006005CF"/>
    <w:rsid w:val="006011AE"/>
    <w:rsid w:val="00603B1E"/>
    <w:rsid w:val="00604923"/>
    <w:rsid w:val="006050DC"/>
    <w:rsid w:val="00605755"/>
    <w:rsid w:val="00605A1D"/>
    <w:rsid w:val="00605F0B"/>
    <w:rsid w:val="00610440"/>
    <w:rsid w:val="00614078"/>
    <w:rsid w:val="006140BD"/>
    <w:rsid w:val="00614EDC"/>
    <w:rsid w:val="0062406C"/>
    <w:rsid w:val="00624199"/>
    <w:rsid w:val="006248C3"/>
    <w:rsid w:val="00624BAE"/>
    <w:rsid w:val="00625C5F"/>
    <w:rsid w:val="00626281"/>
    <w:rsid w:val="00626539"/>
    <w:rsid w:val="00626BB3"/>
    <w:rsid w:val="00627A3D"/>
    <w:rsid w:val="00631BC5"/>
    <w:rsid w:val="00631C0E"/>
    <w:rsid w:val="0063395F"/>
    <w:rsid w:val="00635062"/>
    <w:rsid w:val="00635B89"/>
    <w:rsid w:val="00635F99"/>
    <w:rsid w:val="00636AE7"/>
    <w:rsid w:val="00637D2F"/>
    <w:rsid w:val="00640D9F"/>
    <w:rsid w:val="00643291"/>
    <w:rsid w:val="0064341D"/>
    <w:rsid w:val="00643BC4"/>
    <w:rsid w:val="006442EF"/>
    <w:rsid w:val="006449BA"/>
    <w:rsid w:val="00644BA2"/>
    <w:rsid w:val="00644F9B"/>
    <w:rsid w:val="00645326"/>
    <w:rsid w:val="00645475"/>
    <w:rsid w:val="0064610B"/>
    <w:rsid w:val="00646288"/>
    <w:rsid w:val="0064677A"/>
    <w:rsid w:val="00646CA1"/>
    <w:rsid w:val="00650155"/>
    <w:rsid w:val="006505A0"/>
    <w:rsid w:val="00650B2D"/>
    <w:rsid w:val="00651216"/>
    <w:rsid w:val="00651296"/>
    <w:rsid w:val="00651989"/>
    <w:rsid w:val="00651C38"/>
    <w:rsid w:val="00652688"/>
    <w:rsid w:val="006540E3"/>
    <w:rsid w:val="0065462D"/>
    <w:rsid w:val="006550C5"/>
    <w:rsid w:val="00656F78"/>
    <w:rsid w:val="00657A6C"/>
    <w:rsid w:val="00660429"/>
    <w:rsid w:val="00660AEC"/>
    <w:rsid w:val="0066217B"/>
    <w:rsid w:val="00663858"/>
    <w:rsid w:val="006668C6"/>
    <w:rsid w:val="00666EC6"/>
    <w:rsid w:val="0067019B"/>
    <w:rsid w:val="006703AE"/>
    <w:rsid w:val="00671344"/>
    <w:rsid w:val="00675898"/>
    <w:rsid w:val="00676781"/>
    <w:rsid w:val="00677AE8"/>
    <w:rsid w:val="00677AF9"/>
    <w:rsid w:val="006850D2"/>
    <w:rsid w:val="00685B84"/>
    <w:rsid w:val="00686FC5"/>
    <w:rsid w:val="00687491"/>
    <w:rsid w:val="00690005"/>
    <w:rsid w:val="00692D31"/>
    <w:rsid w:val="00693D4F"/>
    <w:rsid w:val="00694240"/>
    <w:rsid w:val="00694553"/>
    <w:rsid w:val="0069516C"/>
    <w:rsid w:val="00696F6C"/>
    <w:rsid w:val="00697219"/>
    <w:rsid w:val="006A057D"/>
    <w:rsid w:val="006A2206"/>
    <w:rsid w:val="006A2660"/>
    <w:rsid w:val="006A413D"/>
    <w:rsid w:val="006A4264"/>
    <w:rsid w:val="006A50D6"/>
    <w:rsid w:val="006A534B"/>
    <w:rsid w:val="006A555F"/>
    <w:rsid w:val="006A67A4"/>
    <w:rsid w:val="006A7239"/>
    <w:rsid w:val="006B05DB"/>
    <w:rsid w:val="006B0E46"/>
    <w:rsid w:val="006B267B"/>
    <w:rsid w:val="006B3421"/>
    <w:rsid w:val="006B52A6"/>
    <w:rsid w:val="006B5BCD"/>
    <w:rsid w:val="006B75C9"/>
    <w:rsid w:val="006C3746"/>
    <w:rsid w:val="006C37C1"/>
    <w:rsid w:val="006C3CF0"/>
    <w:rsid w:val="006C460F"/>
    <w:rsid w:val="006C516C"/>
    <w:rsid w:val="006C7044"/>
    <w:rsid w:val="006C7E67"/>
    <w:rsid w:val="006D048E"/>
    <w:rsid w:val="006D10E9"/>
    <w:rsid w:val="006D1919"/>
    <w:rsid w:val="006D2651"/>
    <w:rsid w:val="006D307C"/>
    <w:rsid w:val="006D6314"/>
    <w:rsid w:val="006D6E4E"/>
    <w:rsid w:val="006D6F93"/>
    <w:rsid w:val="006D6FEA"/>
    <w:rsid w:val="006E0951"/>
    <w:rsid w:val="006E462E"/>
    <w:rsid w:val="006E57AF"/>
    <w:rsid w:val="006E5E8E"/>
    <w:rsid w:val="006E6131"/>
    <w:rsid w:val="006E660D"/>
    <w:rsid w:val="006E7AD3"/>
    <w:rsid w:val="006F099B"/>
    <w:rsid w:val="006F15AF"/>
    <w:rsid w:val="006F24DE"/>
    <w:rsid w:val="006F4261"/>
    <w:rsid w:val="006F526F"/>
    <w:rsid w:val="006F5405"/>
    <w:rsid w:val="006F594A"/>
    <w:rsid w:val="006F64B4"/>
    <w:rsid w:val="006F707D"/>
    <w:rsid w:val="00700B30"/>
    <w:rsid w:val="007012E7"/>
    <w:rsid w:val="00703342"/>
    <w:rsid w:val="007049D3"/>
    <w:rsid w:val="00704CDA"/>
    <w:rsid w:val="007059D0"/>
    <w:rsid w:val="007104E3"/>
    <w:rsid w:val="00712C40"/>
    <w:rsid w:val="0071339F"/>
    <w:rsid w:val="007139BE"/>
    <w:rsid w:val="007143BE"/>
    <w:rsid w:val="007144CC"/>
    <w:rsid w:val="00714812"/>
    <w:rsid w:val="007236E1"/>
    <w:rsid w:val="00723AE4"/>
    <w:rsid w:val="00723AFD"/>
    <w:rsid w:val="00724D78"/>
    <w:rsid w:val="0072590A"/>
    <w:rsid w:val="007259C1"/>
    <w:rsid w:val="00726118"/>
    <w:rsid w:val="007275D3"/>
    <w:rsid w:val="00731CFA"/>
    <w:rsid w:val="007320D9"/>
    <w:rsid w:val="0073421F"/>
    <w:rsid w:val="0073495E"/>
    <w:rsid w:val="00735922"/>
    <w:rsid w:val="007359BB"/>
    <w:rsid w:val="00735B9D"/>
    <w:rsid w:val="00736591"/>
    <w:rsid w:val="0073740D"/>
    <w:rsid w:val="00737B7B"/>
    <w:rsid w:val="00737D2D"/>
    <w:rsid w:val="00741629"/>
    <w:rsid w:val="0074207E"/>
    <w:rsid w:val="00743179"/>
    <w:rsid w:val="00743506"/>
    <w:rsid w:val="007440B5"/>
    <w:rsid w:val="00745816"/>
    <w:rsid w:val="0074643C"/>
    <w:rsid w:val="007474D0"/>
    <w:rsid w:val="007502D2"/>
    <w:rsid w:val="00752020"/>
    <w:rsid w:val="00753824"/>
    <w:rsid w:val="00754528"/>
    <w:rsid w:val="00754EB1"/>
    <w:rsid w:val="007559F2"/>
    <w:rsid w:val="00755F50"/>
    <w:rsid w:val="00757CAB"/>
    <w:rsid w:val="007619D9"/>
    <w:rsid w:val="007645B4"/>
    <w:rsid w:val="00765281"/>
    <w:rsid w:val="007656DD"/>
    <w:rsid w:val="007671FC"/>
    <w:rsid w:val="00767799"/>
    <w:rsid w:val="00767AE5"/>
    <w:rsid w:val="0077072F"/>
    <w:rsid w:val="00770BE6"/>
    <w:rsid w:val="00770FBD"/>
    <w:rsid w:val="00771462"/>
    <w:rsid w:val="00771DCA"/>
    <w:rsid w:val="007720AB"/>
    <w:rsid w:val="00772653"/>
    <w:rsid w:val="007766D9"/>
    <w:rsid w:val="007768AC"/>
    <w:rsid w:val="00777208"/>
    <w:rsid w:val="00780EF2"/>
    <w:rsid w:val="007813BF"/>
    <w:rsid w:val="00781FF3"/>
    <w:rsid w:val="00782DF6"/>
    <w:rsid w:val="007836C3"/>
    <w:rsid w:val="007855E7"/>
    <w:rsid w:val="00786FD2"/>
    <w:rsid w:val="00790BE8"/>
    <w:rsid w:val="007912BD"/>
    <w:rsid w:val="00794679"/>
    <w:rsid w:val="00794896"/>
    <w:rsid w:val="00797CE9"/>
    <w:rsid w:val="007A06A3"/>
    <w:rsid w:val="007A162A"/>
    <w:rsid w:val="007A18AA"/>
    <w:rsid w:val="007A1DEE"/>
    <w:rsid w:val="007A5757"/>
    <w:rsid w:val="007A5E77"/>
    <w:rsid w:val="007A723D"/>
    <w:rsid w:val="007A7EE7"/>
    <w:rsid w:val="007A7FC6"/>
    <w:rsid w:val="007B0105"/>
    <w:rsid w:val="007B0458"/>
    <w:rsid w:val="007B070D"/>
    <w:rsid w:val="007B0D9A"/>
    <w:rsid w:val="007B196D"/>
    <w:rsid w:val="007B1DCA"/>
    <w:rsid w:val="007B2DA1"/>
    <w:rsid w:val="007C0658"/>
    <w:rsid w:val="007C09D4"/>
    <w:rsid w:val="007C1B78"/>
    <w:rsid w:val="007C2B8C"/>
    <w:rsid w:val="007C30AC"/>
    <w:rsid w:val="007C4629"/>
    <w:rsid w:val="007C5F56"/>
    <w:rsid w:val="007C6392"/>
    <w:rsid w:val="007C6C68"/>
    <w:rsid w:val="007D1516"/>
    <w:rsid w:val="007D44B8"/>
    <w:rsid w:val="007D4760"/>
    <w:rsid w:val="007D47F9"/>
    <w:rsid w:val="007D4BA3"/>
    <w:rsid w:val="007E0EAF"/>
    <w:rsid w:val="007E2282"/>
    <w:rsid w:val="007E2D2F"/>
    <w:rsid w:val="007E2EC3"/>
    <w:rsid w:val="007E2FDE"/>
    <w:rsid w:val="007E4C31"/>
    <w:rsid w:val="007E501D"/>
    <w:rsid w:val="007F04F0"/>
    <w:rsid w:val="007F0D56"/>
    <w:rsid w:val="007F1BEF"/>
    <w:rsid w:val="007F2153"/>
    <w:rsid w:val="007F2183"/>
    <w:rsid w:val="007F2731"/>
    <w:rsid w:val="007F2846"/>
    <w:rsid w:val="007F3D6D"/>
    <w:rsid w:val="007F4C37"/>
    <w:rsid w:val="007F5058"/>
    <w:rsid w:val="007F7426"/>
    <w:rsid w:val="007F755D"/>
    <w:rsid w:val="007F7B95"/>
    <w:rsid w:val="00800C51"/>
    <w:rsid w:val="00802049"/>
    <w:rsid w:val="00805723"/>
    <w:rsid w:val="008065D4"/>
    <w:rsid w:val="00807D02"/>
    <w:rsid w:val="00810AB3"/>
    <w:rsid w:val="00811847"/>
    <w:rsid w:val="00812E18"/>
    <w:rsid w:val="00813C39"/>
    <w:rsid w:val="008144C2"/>
    <w:rsid w:val="00814A9B"/>
    <w:rsid w:val="008159A7"/>
    <w:rsid w:val="0081615A"/>
    <w:rsid w:val="00820187"/>
    <w:rsid w:val="008223E0"/>
    <w:rsid w:val="00824A7B"/>
    <w:rsid w:val="00824E9F"/>
    <w:rsid w:val="00827F1B"/>
    <w:rsid w:val="0083083A"/>
    <w:rsid w:val="00833B95"/>
    <w:rsid w:val="008349B2"/>
    <w:rsid w:val="008356EC"/>
    <w:rsid w:val="00835FA9"/>
    <w:rsid w:val="0083623F"/>
    <w:rsid w:val="00837565"/>
    <w:rsid w:val="008401BA"/>
    <w:rsid w:val="008408F6"/>
    <w:rsid w:val="00841DC8"/>
    <w:rsid w:val="00844775"/>
    <w:rsid w:val="008454B1"/>
    <w:rsid w:val="00845B49"/>
    <w:rsid w:val="0084618F"/>
    <w:rsid w:val="00847797"/>
    <w:rsid w:val="0085007C"/>
    <w:rsid w:val="008511C5"/>
    <w:rsid w:val="00851923"/>
    <w:rsid w:val="008530FD"/>
    <w:rsid w:val="00854604"/>
    <w:rsid w:val="008550AE"/>
    <w:rsid w:val="008551B4"/>
    <w:rsid w:val="0085780C"/>
    <w:rsid w:val="0086082A"/>
    <w:rsid w:val="00861DE4"/>
    <w:rsid w:val="00861FDD"/>
    <w:rsid w:val="00864085"/>
    <w:rsid w:val="00864A85"/>
    <w:rsid w:val="00866264"/>
    <w:rsid w:val="00871289"/>
    <w:rsid w:val="00871BBF"/>
    <w:rsid w:val="00873713"/>
    <w:rsid w:val="00873803"/>
    <w:rsid w:val="00874E2C"/>
    <w:rsid w:val="00875A7B"/>
    <w:rsid w:val="00875F25"/>
    <w:rsid w:val="00876471"/>
    <w:rsid w:val="008776F6"/>
    <w:rsid w:val="008778C0"/>
    <w:rsid w:val="00877A22"/>
    <w:rsid w:val="00880D4E"/>
    <w:rsid w:val="00881E44"/>
    <w:rsid w:val="0088382E"/>
    <w:rsid w:val="00883D58"/>
    <w:rsid w:val="00886003"/>
    <w:rsid w:val="008860D5"/>
    <w:rsid w:val="00887675"/>
    <w:rsid w:val="00890325"/>
    <w:rsid w:val="00892821"/>
    <w:rsid w:val="00892896"/>
    <w:rsid w:val="00892ADF"/>
    <w:rsid w:val="00893223"/>
    <w:rsid w:val="00893557"/>
    <w:rsid w:val="00894092"/>
    <w:rsid w:val="00894733"/>
    <w:rsid w:val="0089511D"/>
    <w:rsid w:val="00896163"/>
    <w:rsid w:val="008A0EAA"/>
    <w:rsid w:val="008A1AA7"/>
    <w:rsid w:val="008A252B"/>
    <w:rsid w:val="008A37CC"/>
    <w:rsid w:val="008A6C71"/>
    <w:rsid w:val="008A6CFD"/>
    <w:rsid w:val="008B005C"/>
    <w:rsid w:val="008B0EF0"/>
    <w:rsid w:val="008B1FF3"/>
    <w:rsid w:val="008B29CE"/>
    <w:rsid w:val="008B3D4B"/>
    <w:rsid w:val="008B4250"/>
    <w:rsid w:val="008B4B33"/>
    <w:rsid w:val="008B5A2D"/>
    <w:rsid w:val="008B6EBA"/>
    <w:rsid w:val="008B70A9"/>
    <w:rsid w:val="008B774E"/>
    <w:rsid w:val="008C2574"/>
    <w:rsid w:val="008C4694"/>
    <w:rsid w:val="008C5337"/>
    <w:rsid w:val="008C578D"/>
    <w:rsid w:val="008C59BB"/>
    <w:rsid w:val="008C66C0"/>
    <w:rsid w:val="008C743A"/>
    <w:rsid w:val="008C795A"/>
    <w:rsid w:val="008C7D50"/>
    <w:rsid w:val="008D430F"/>
    <w:rsid w:val="008D4E3B"/>
    <w:rsid w:val="008D4F24"/>
    <w:rsid w:val="008D5080"/>
    <w:rsid w:val="008D5953"/>
    <w:rsid w:val="008D5A11"/>
    <w:rsid w:val="008E0EA9"/>
    <w:rsid w:val="008E12E2"/>
    <w:rsid w:val="008E17D1"/>
    <w:rsid w:val="008E206B"/>
    <w:rsid w:val="008E33E0"/>
    <w:rsid w:val="008E3440"/>
    <w:rsid w:val="008E3585"/>
    <w:rsid w:val="008E3E36"/>
    <w:rsid w:val="008E4D38"/>
    <w:rsid w:val="008E51BD"/>
    <w:rsid w:val="008E522C"/>
    <w:rsid w:val="008E5CB9"/>
    <w:rsid w:val="008E63BF"/>
    <w:rsid w:val="008E6D0C"/>
    <w:rsid w:val="008E71DF"/>
    <w:rsid w:val="008E7FE0"/>
    <w:rsid w:val="008F06EB"/>
    <w:rsid w:val="008F2012"/>
    <w:rsid w:val="008F303E"/>
    <w:rsid w:val="008F3B6D"/>
    <w:rsid w:val="008F59A0"/>
    <w:rsid w:val="008F5F85"/>
    <w:rsid w:val="008F7043"/>
    <w:rsid w:val="009006E1"/>
    <w:rsid w:val="00900E31"/>
    <w:rsid w:val="0090298A"/>
    <w:rsid w:val="009032A6"/>
    <w:rsid w:val="00903FD8"/>
    <w:rsid w:val="00905FFB"/>
    <w:rsid w:val="00907C0F"/>
    <w:rsid w:val="00910017"/>
    <w:rsid w:val="00910048"/>
    <w:rsid w:val="00911218"/>
    <w:rsid w:val="009115D1"/>
    <w:rsid w:val="0091288B"/>
    <w:rsid w:val="00914356"/>
    <w:rsid w:val="009153F6"/>
    <w:rsid w:val="009155A8"/>
    <w:rsid w:val="0091585F"/>
    <w:rsid w:val="0091741F"/>
    <w:rsid w:val="009203DA"/>
    <w:rsid w:val="00920C28"/>
    <w:rsid w:val="009210C8"/>
    <w:rsid w:val="0092192C"/>
    <w:rsid w:val="00921A17"/>
    <w:rsid w:val="00926E93"/>
    <w:rsid w:val="0092789A"/>
    <w:rsid w:val="00927F0C"/>
    <w:rsid w:val="009304C8"/>
    <w:rsid w:val="00930ED5"/>
    <w:rsid w:val="009317C9"/>
    <w:rsid w:val="00932FA7"/>
    <w:rsid w:val="00933100"/>
    <w:rsid w:val="009340B9"/>
    <w:rsid w:val="009343C5"/>
    <w:rsid w:val="00934B7E"/>
    <w:rsid w:val="00934F71"/>
    <w:rsid w:val="0093510F"/>
    <w:rsid w:val="009364DF"/>
    <w:rsid w:val="0093729A"/>
    <w:rsid w:val="009372C2"/>
    <w:rsid w:val="00937703"/>
    <w:rsid w:val="00940A5D"/>
    <w:rsid w:val="00940BAE"/>
    <w:rsid w:val="00946720"/>
    <w:rsid w:val="00946CBF"/>
    <w:rsid w:val="00947A4D"/>
    <w:rsid w:val="00950F15"/>
    <w:rsid w:val="00951815"/>
    <w:rsid w:val="009550FD"/>
    <w:rsid w:val="00955D2D"/>
    <w:rsid w:val="00956024"/>
    <w:rsid w:val="009567C1"/>
    <w:rsid w:val="009573C5"/>
    <w:rsid w:val="0095768B"/>
    <w:rsid w:val="00957C4F"/>
    <w:rsid w:val="009604DF"/>
    <w:rsid w:val="00960935"/>
    <w:rsid w:val="00960A17"/>
    <w:rsid w:val="0096188B"/>
    <w:rsid w:val="00961942"/>
    <w:rsid w:val="009634B2"/>
    <w:rsid w:val="00963F07"/>
    <w:rsid w:val="00964890"/>
    <w:rsid w:val="0096572F"/>
    <w:rsid w:val="00966100"/>
    <w:rsid w:val="00967958"/>
    <w:rsid w:val="00967D52"/>
    <w:rsid w:val="00970A02"/>
    <w:rsid w:val="00971ECB"/>
    <w:rsid w:val="009729AE"/>
    <w:rsid w:val="0097353D"/>
    <w:rsid w:val="00974A23"/>
    <w:rsid w:val="00974B8C"/>
    <w:rsid w:val="00974BD5"/>
    <w:rsid w:val="00974CE9"/>
    <w:rsid w:val="00974FAA"/>
    <w:rsid w:val="0097593B"/>
    <w:rsid w:val="00975F39"/>
    <w:rsid w:val="00976100"/>
    <w:rsid w:val="00976E94"/>
    <w:rsid w:val="00981A79"/>
    <w:rsid w:val="0098354B"/>
    <w:rsid w:val="009836F8"/>
    <w:rsid w:val="00983875"/>
    <w:rsid w:val="00983C01"/>
    <w:rsid w:val="00983CE5"/>
    <w:rsid w:val="00987416"/>
    <w:rsid w:val="009878DE"/>
    <w:rsid w:val="00987BCA"/>
    <w:rsid w:val="009914B3"/>
    <w:rsid w:val="0099193E"/>
    <w:rsid w:val="00992827"/>
    <w:rsid w:val="009933E3"/>
    <w:rsid w:val="009934E5"/>
    <w:rsid w:val="009944E8"/>
    <w:rsid w:val="009954D6"/>
    <w:rsid w:val="009961EA"/>
    <w:rsid w:val="00996658"/>
    <w:rsid w:val="00997595"/>
    <w:rsid w:val="009A0450"/>
    <w:rsid w:val="009A337B"/>
    <w:rsid w:val="009A39D5"/>
    <w:rsid w:val="009A610B"/>
    <w:rsid w:val="009A6B5B"/>
    <w:rsid w:val="009A6BF8"/>
    <w:rsid w:val="009B22A2"/>
    <w:rsid w:val="009B237E"/>
    <w:rsid w:val="009B2849"/>
    <w:rsid w:val="009B2A2B"/>
    <w:rsid w:val="009B59D3"/>
    <w:rsid w:val="009B6906"/>
    <w:rsid w:val="009C2028"/>
    <w:rsid w:val="009C275C"/>
    <w:rsid w:val="009C32F9"/>
    <w:rsid w:val="009C490F"/>
    <w:rsid w:val="009C5492"/>
    <w:rsid w:val="009C605B"/>
    <w:rsid w:val="009C64A2"/>
    <w:rsid w:val="009C6C00"/>
    <w:rsid w:val="009D10D5"/>
    <w:rsid w:val="009D3BAB"/>
    <w:rsid w:val="009D3F96"/>
    <w:rsid w:val="009D64DF"/>
    <w:rsid w:val="009E1CE4"/>
    <w:rsid w:val="009E244A"/>
    <w:rsid w:val="009E337E"/>
    <w:rsid w:val="009E5D4E"/>
    <w:rsid w:val="009E5E24"/>
    <w:rsid w:val="009E61D6"/>
    <w:rsid w:val="009E6AF0"/>
    <w:rsid w:val="009E6ED2"/>
    <w:rsid w:val="009E7A3D"/>
    <w:rsid w:val="009E7C97"/>
    <w:rsid w:val="009F1FED"/>
    <w:rsid w:val="009F2CB4"/>
    <w:rsid w:val="009F4D6E"/>
    <w:rsid w:val="009F5CF7"/>
    <w:rsid w:val="009F6E80"/>
    <w:rsid w:val="009F7524"/>
    <w:rsid w:val="009F7DF2"/>
    <w:rsid w:val="00A01133"/>
    <w:rsid w:val="00A013CB"/>
    <w:rsid w:val="00A01AB2"/>
    <w:rsid w:val="00A03460"/>
    <w:rsid w:val="00A05910"/>
    <w:rsid w:val="00A05E4F"/>
    <w:rsid w:val="00A060CF"/>
    <w:rsid w:val="00A07425"/>
    <w:rsid w:val="00A07D0B"/>
    <w:rsid w:val="00A147EC"/>
    <w:rsid w:val="00A14809"/>
    <w:rsid w:val="00A15393"/>
    <w:rsid w:val="00A153B5"/>
    <w:rsid w:val="00A15FD4"/>
    <w:rsid w:val="00A16461"/>
    <w:rsid w:val="00A17324"/>
    <w:rsid w:val="00A202EE"/>
    <w:rsid w:val="00A21022"/>
    <w:rsid w:val="00A21969"/>
    <w:rsid w:val="00A21AAF"/>
    <w:rsid w:val="00A223FA"/>
    <w:rsid w:val="00A225C7"/>
    <w:rsid w:val="00A259FA"/>
    <w:rsid w:val="00A26D7C"/>
    <w:rsid w:val="00A30415"/>
    <w:rsid w:val="00A304BE"/>
    <w:rsid w:val="00A33181"/>
    <w:rsid w:val="00A33E21"/>
    <w:rsid w:val="00A3723E"/>
    <w:rsid w:val="00A37FAD"/>
    <w:rsid w:val="00A404C7"/>
    <w:rsid w:val="00A406AC"/>
    <w:rsid w:val="00A415A6"/>
    <w:rsid w:val="00A4211E"/>
    <w:rsid w:val="00A4225C"/>
    <w:rsid w:val="00A42D16"/>
    <w:rsid w:val="00A42EE0"/>
    <w:rsid w:val="00A4325D"/>
    <w:rsid w:val="00A441E3"/>
    <w:rsid w:val="00A45EEB"/>
    <w:rsid w:val="00A472CC"/>
    <w:rsid w:val="00A508C7"/>
    <w:rsid w:val="00A54270"/>
    <w:rsid w:val="00A56ADA"/>
    <w:rsid w:val="00A56D92"/>
    <w:rsid w:val="00A56FF4"/>
    <w:rsid w:val="00A6131E"/>
    <w:rsid w:val="00A614CF"/>
    <w:rsid w:val="00A63665"/>
    <w:rsid w:val="00A63BE0"/>
    <w:rsid w:val="00A641DD"/>
    <w:rsid w:val="00A655C3"/>
    <w:rsid w:val="00A66939"/>
    <w:rsid w:val="00A7283B"/>
    <w:rsid w:val="00A72939"/>
    <w:rsid w:val="00A7349B"/>
    <w:rsid w:val="00A7383F"/>
    <w:rsid w:val="00A73E44"/>
    <w:rsid w:val="00A74ACE"/>
    <w:rsid w:val="00A7546C"/>
    <w:rsid w:val="00A81135"/>
    <w:rsid w:val="00A81E54"/>
    <w:rsid w:val="00A82462"/>
    <w:rsid w:val="00A8269A"/>
    <w:rsid w:val="00A829EA"/>
    <w:rsid w:val="00A83BBB"/>
    <w:rsid w:val="00A83F4F"/>
    <w:rsid w:val="00A86C6C"/>
    <w:rsid w:val="00A86F11"/>
    <w:rsid w:val="00A87270"/>
    <w:rsid w:val="00A87B4C"/>
    <w:rsid w:val="00A9059A"/>
    <w:rsid w:val="00A917BF"/>
    <w:rsid w:val="00A91F91"/>
    <w:rsid w:val="00A9244C"/>
    <w:rsid w:val="00A92D5D"/>
    <w:rsid w:val="00A9414A"/>
    <w:rsid w:val="00A958C5"/>
    <w:rsid w:val="00A95AD6"/>
    <w:rsid w:val="00A9694F"/>
    <w:rsid w:val="00A969B5"/>
    <w:rsid w:val="00A96C8B"/>
    <w:rsid w:val="00AA0875"/>
    <w:rsid w:val="00AA19DD"/>
    <w:rsid w:val="00AA1E11"/>
    <w:rsid w:val="00AA2E33"/>
    <w:rsid w:val="00AA3B4C"/>
    <w:rsid w:val="00AB12AD"/>
    <w:rsid w:val="00AB2353"/>
    <w:rsid w:val="00AB29D6"/>
    <w:rsid w:val="00AB2A3D"/>
    <w:rsid w:val="00AB34A1"/>
    <w:rsid w:val="00AB36BC"/>
    <w:rsid w:val="00AB3D80"/>
    <w:rsid w:val="00AB634E"/>
    <w:rsid w:val="00AB6C04"/>
    <w:rsid w:val="00AB7884"/>
    <w:rsid w:val="00AC0610"/>
    <w:rsid w:val="00AC0901"/>
    <w:rsid w:val="00AC13F1"/>
    <w:rsid w:val="00AC13F3"/>
    <w:rsid w:val="00AC31BC"/>
    <w:rsid w:val="00AC3D54"/>
    <w:rsid w:val="00AC558E"/>
    <w:rsid w:val="00AC5912"/>
    <w:rsid w:val="00AC5DA0"/>
    <w:rsid w:val="00AC5FB4"/>
    <w:rsid w:val="00AC6426"/>
    <w:rsid w:val="00AC7772"/>
    <w:rsid w:val="00AD02D1"/>
    <w:rsid w:val="00AD0A64"/>
    <w:rsid w:val="00AD3A98"/>
    <w:rsid w:val="00AD4DA0"/>
    <w:rsid w:val="00AD5B4C"/>
    <w:rsid w:val="00AD6C18"/>
    <w:rsid w:val="00AD7124"/>
    <w:rsid w:val="00AD7CAC"/>
    <w:rsid w:val="00AD7E65"/>
    <w:rsid w:val="00AE0011"/>
    <w:rsid w:val="00AE072F"/>
    <w:rsid w:val="00AE0D68"/>
    <w:rsid w:val="00AE2703"/>
    <w:rsid w:val="00AE30E4"/>
    <w:rsid w:val="00AE40AC"/>
    <w:rsid w:val="00AE5A46"/>
    <w:rsid w:val="00AE600D"/>
    <w:rsid w:val="00AE6F89"/>
    <w:rsid w:val="00AE725F"/>
    <w:rsid w:val="00AF0338"/>
    <w:rsid w:val="00AF1D56"/>
    <w:rsid w:val="00AF2AE0"/>
    <w:rsid w:val="00AF3910"/>
    <w:rsid w:val="00AF3BBA"/>
    <w:rsid w:val="00AF5D17"/>
    <w:rsid w:val="00AF6160"/>
    <w:rsid w:val="00AF7F67"/>
    <w:rsid w:val="00B00A40"/>
    <w:rsid w:val="00B01DB1"/>
    <w:rsid w:val="00B04E88"/>
    <w:rsid w:val="00B05D30"/>
    <w:rsid w:val="00B0601E"/>
    <w:rsid w:val="00B07187"/>
    <w:rsid w:val="00B111FB"/>
    <w:rsid w:val="00B114FE"/>
    <w:rsid w:val="00B12A66"/>
    <w:rsid w:val="00B133BA"/>
    <w:rsid w:val="00B14794"/>
    <w:rsid w:val="00B14A8C"/>
    <w:rsid w:val="00B15242"/>
    <w:rsid w:val="00B15ECD"/>
    <w:rsid w:val="00B16801"/>
    <w:rsid w:val="00B21C22"/>
    <w:rsid w:val="00B22A69"/>
    <w:rsid w:val="00B24DB6"/>
    <w:rsid w:val="00B27FF5"/>
    <w:rsid w:val="00B30AA6"/>
    <w:rsid w:val="00B30C82"/>
    <w:rsid w:val="00B31C93"/>
    <w:rsid w:val="00B32DA8"/>
    <w:rsid w:val="00B33482"/>
    <w:rsid w:val="00B345C4"/>
    <w:rsid w:val="00B34AD5"/>
    <w:rsid w:val="00B34DE5"/>
    <w:rsid w:val="00B350DD"/>
    <w:rsid w:val="00B354C8"/>
    <w:rsid w:val="00B35B6F"/>
    <w:rsid w:val="00B3643B"/>
    <w:rsid w:val="00B4019A"/>
    <w:rsid w:val="00B40253"/>
    <w:rsid w:val="00B40289"/>
    <w:rsid w:val="00B40E9E"/>
    <w:rsid w:val="00B41C25"/>
    <w:rsid w:val="00B423E9"/>
    <w:rsid w:val="00B43103"/>
    <w:rsid w:val="00B44124"/>
    <w:rsid w:val="00B4517E"/>
    <w:rsid w:val="00B454B5"/>
    <w:rsid w:val="00B457E8"/>
    <w:rsid w:val="00B45924"/>
    <w:rsid w:val="00B45C86"/>
    <w:rsid w:val="00B46440"/>
    <w:rsid w:val="00B4698A"/>
    <w:rsid w:val="00B46B47"/>
    <w:rsid w:val="00B47268"/>
    <w:rsid w:val="00B4731D"/>
    <w:rsid w:val="00B4760F"/>
    <w:rsid w:val="00B47639"/>
    <w:rsid w:val="00B52524"/>
    <w:rsid w:val="00B52708"/>
    <w:rsid w:val="00B53227"/>
    <w:rsid w:val="00B53271"/>
    <w:rsid w:val="00B569AC"/>
    <w:rsid w:val="00B57DC2"/>
    <w:rsid w:val="00B602AE"/>
    <w:rsid w:val="00B62AA6"/>
    <w:rsid w:val="00B62DED"/>
    <w:rsid w:val="00B62E46"/>
    <w:rsid w:val="00B62E83"/>
    <w:rsid w:val="00B641FE"/>
    <w:rsid w:val="00B64813"/>
    <w:rsid w:val="00B64DB7"/>
    <w:rsid w:val="00B66616"/>
    <w:rsid w:val="00B67309"/>
    <w:rsid w:val="00B674B7"/>
    <w:rsid w:val="00B6772E"/>
    <w:rsid w:val="00B71D41"/>
    <w:rsid w:val="00B738A0"/>
    <w:rsid w:val="00B774DE"/>
    <w:rsid w:val="00B801DA"/>
    <w:rsid w:val="00B80574"/>
    <w:rsid w:val="00B8093C"/>
    <w:rsid w:val="00B80E3C"/>
    <w:rsid w:val="00B80EC6"/>
    <w:rsid w:val="00B82B10"/>
    <w:rsid w:val="00B82B7B"/>
    <w:rsid w:val="00B83569"/>
    <w:rsid w:val="00B84178"/>
    <w:rsid w:val="00B85269"/>
    <w:rsid w:val="00B86D85"/>
    <w:rsid w:val="00B87A56"/>
    <w:rsid w:val="00B87C83"/>
    <w:rsid w:val="00B90BA6"/>
    <w:rsid w:val="00B92E15"/>
    <w:rsid w:val="00B92FC2"/>
    <w:rsid w:val="00B942D3"/>
    <w:rsid w:val="00B9461C"/>
    <w:rsid w:val="00B9474A"/>
    <w:rsid w:val="00B94C3B"/>
    <w:rsid w:val="00B94D96"/>
    <w:rsid w:val="00B95111"/>
    <w:rsid w:val="00B95A84"/>
    <w:rsid w:val="00B972DD"/>
    <w:rsid w:val="00B97571"/>
    <w:rsid w:val="00BA0BFC"/>
    <w:rsid w:val="00BA28E9"/>
    <w:rsid w:val="00BA3C14"/>
    <w:rsid w:val="00BA42C6"/>
    <w:rsid w:val="00BA49BC"/>
    <w:rsid w:val="00BA66EC"/>
    <w:rsid w:val="00BA6948"/>
    <w:rsid w:val="00BB097E"/>
    <w:rsid w:val="00BB0DCD"/>
    <w:rsid w:val="00BB1E68"/>
    <w:rsid w:val="00BB458C"/>
    <w:rsid w:val="00BB6EE3"/>
    <w:rsid w:val="00BC011F"/>
    <w:rsid w:val="00BC0BA3"/>
    <w:rsid w:val="00BC0C94"/>
    <w:rsid w:val="00BC2376"/>
    <w:rsid w:val="00BC2963"/>
    <w:rsid w:val="00BC2B23"/>
    <w:rsid w:val="00BC2CE9"/>
    <w:rsid w:val="00BC4242"/>
    <w:rsid w:val="00BC4A5A"/>
    <w:rsid w:val="00BC6E7F"/>
    <w:rsid w:val="00BC7ABA"/>
    <w:rsid w:val="00BC7C14"/>
    <w:rsid w:val="00BD343F"/>
    <w:rsid w:val="00BD3996"/>
    <w:rsid w:val="00BD4594"/>
    <w:rsid w:val="00BD478C"/>
    <w:rsid w:val="00BD4B34"/>
    <w:rsid w:val="00BD4E7D"/>
    <w:rsid w:val="00BD52FB"/>
    <w:rsid w:val="00BD5F67"/>
    <w:rsid w:val="00BD622A"/>
    <w:rsid w:val="00BD62C5"/>
    <w:rsid w:val="00BD678C"/>
    <w:rsid w:val="00BD7BCD"/>
    <w:rsid w:val="00BE20A6"/>
    <w:rsid w:val="00BE537A"/>
    <w:rsid w:val="00BE5545"/>
    <w:rsid w:val="00BE5661"/>
    <w:rsid w:val="00BE6349"/>
    <w:rsid w:val="00BE6F26"/>
    <w:rsid w:val="00BF08AE"/>
    <w:rsid w:val="00BF1283"/>
    <w:rsid w:val="00BF21AB"/>
    <w:rsid w:val="00BF358A"/>
    <w:rsid w:val="00BF4000"/>
    <w:rsid w:val="00BF438B"/>
    <w:rsid w:val="00BF7604"/>
    <w:rsid w:val="00C0026C"/>
    <w:rsid w:val="00C009D4"/>
    <w:rsid w:val="00C0140A"/>
    <w:rsid w:val="00C047EF"/>
    <w:rsid w:val="00C04F1C"/>
    <w:rsid w:val="00C054F8"/>
    <w:rsid w:val="00C10EDE"/>
    <w:rsid w:val="00C1188F"/>
    <w:rsid w:val="00C146D0"/>
    <w:rsid w:val="00C1482D"/>
    <w:rsid w:val="00C14F2B"/>
    <w:rsid w:val="00C156C4"/>
    <w:rsid w:val="00C15984"/>
    <w:rsid w:val="00C16AFE"/>
    <w:rsid w:val="00C17646"/>
    <w:rsid w:val="00C1782A"/>
    <w:rsid w:val="00C24BA1"/>
    <w:rsid w:val="00C24EBF"/>
    <w:rsid w:val="00C25776"/>
    <w:rsid w:val="00C2590B"/>
    <w:rsid w:val="00C25E7E"/>
    <w:rsid w:val="00C304DC"/>
    <w:rsid w:val="00C3163F"/>
    <w:rsid w:val="00C35F66"/>
    <w:rsid w:val="00C367C2"/>
    <w:rsid w:val="00C36AFA"/>
    <w:rsid w:val="00C4154C"/>
    <w:rsid w:val="00C43290"/>
    <w:rsid w:val="00C4444B"/>
    <w:rsid w:val="00C444CB"/>
    <w:rsid w:val="00C4653A"/>
    <w:rsid w:val="00C46CA0"/>
    <w:rsid w:val="00C502F6"/>
    <w:rsid w:val="00C50327"/>
    <w:rsid w:val="00C5049D"/>
    <w:rsid w:val="00C51D68"/>
    <w:rsid w:val="00C55D24"/>
    <w:rsid w:val="00C57D1A"/>
    <w:rsid w:val="00C6038D"/>
    <w:rsid w:val="00C60ADF"/>
    <w:rsid w:val="00C61B97"/>
    <w:rsid w:val="00C642B6"/>
    <w:rsid w:val="00C676BA"/>
    <w:rsid w:val="00C72969"/>
    <w:rsid w:val="00C72B7F"/>
    <w:rsid w:val="00C73B91"/>
    <w:rsid w:val="00C73C92"/>
    <w:rsid w:val="00C74972"/>
    <w:rsid w:val="00C752EF"/>
    <w:rsid w:val="00C77383"/>
    <w:rsid w:val="00C774D4"/>
    <w:rsid w:val="00C81B0E"/>
    <w:rsid w:val="00C8280D"/>
    <w:rsid w:val="00C835A6"/>
    <w:rsid w:val="00C85A2B"/>
    <w:rsid w:val="00C85D83"/>
    <w:rsid w:val="00C85D85"/>
    <w:rsid w:val="00C867B4"/>
    <w:rsid w:val="00C87E92"/>
    <w:rsid w:val="00C902BA"/>
    <w:rsid w:val="00C91BC4"/>
    <w:rsid w:val="00C91CA9"/>
    <w:rsid w:val="00C91F5C"/>
    <w:rsid w:val="00C93E57"/>
    <w:rsid w:val="00C961EB"/>
    <w:rsid w:val="00C96DDD"/>
    <w:rsid w:val="00C9760A"/>
    <w:rsid w:val="00C97958"/>
    <w:rsid w:val="00CA075E"/>
    <w:rsid w:val="00CA0853"/>
    <w:rsid w:val="00CA0B7F"/>
    <w:rsid w:val="00CA2A0D"/>
    <w:rsid w:val="00CA3EED"/>
    <w:rsid w:val="00CA4493"/>
    <w:rsid w:val="00CA515E"/>
    <w:rsid w:val="00CA5F45"/>
    <w:rsid w:val="00CA7342"/>
    <w:rsid w:val="00CA76C3"/>
    <w:rsid w:val="00CA7766"/>
    <w:rsid w:val="00CB00BE"/>
    <w:rsid w:val="00CB0D7E"/>
    <w:rsid w:val="00CB35D1"/>
    <w:rsid w:val="00CB3801"/>
    <w:rsid w:val="00CB4246"/>
    <w:rsid w:val="00CB4B14"/>
    <w:rsid w:val="00CB55A0"/>
    <w:rsid w:val="00CB597D"/>
    <w:rsid w:val="00CB59B9"/>
    <w:rsid w:val="00CB6D3E"/>
    <w:rsid w:val="00CB6EA6"/>
    <w:rsid w:val="00CB713E"/>
    <w:rsid w:val="00CB76A0"/>
    <w:rsid w:val="00CB7BF0"/>
    <w:rsid w:val="00CB7D9C"/>
    <w:rsid w:val="00CC43C5"/>
    <w:rsid w:val="00CC43FB"/>
    <w:rsid w:val="00CC49DC"/>
    <w:rsid w:val="00CC724A"/>
    <w:rsid w:val="00CC7B4A"/>
    <w:rsid w:val="00CD1884"/>
    <w:rsid w:val="00CD18A2"/>
    <w:rsid w:val="00CD1A0F"/>
    <w:rsid w:val="00CD2F2C"/>
    <w:rsid w:val="00CD3806"/>
    <w:rsid w:val="00CD3F8D"/>
    <w:rsid w:val="00CD5565"/>
    <w:rsid w:val="00CD7B50"/>
    <w:rsid w:val="00CE1940"/>
    <w:rsid w:val="00CE381C"/>
    <w:rsid w:val="00CE3E56"/>
    <w:rsid w:val="00CE47A3"/>
    <w:rsid w:val="00CE56A6"/>
    <w:rsid w:val="00CE5B7E"/>
    <w:rsid w:val="00CF050A"/>
    <w:rsid w:val="00CF2513"/>
    <w:rsid w:val="00CF55DC"/>
    <w:rsid w:val="00CF6E5A"/>
    <w:rsid w:val="00D00F75"/>
    <w:rsid w:val="00D035EA"/>
    <w:rsid w:val="00D039F1"/>
    <w:rsid w:val="00D03A91"/>
    <w:rsid w:val="00D04785"/>
    <w:rsid w:val="00D0616F"/>
    <w:rsid w:val="00D066D9"/>
    <w:rsid w:val="00D06A78"/>
    <w:rsid w:val="00D07D1D"/>
    <w:rsid w:val="00D119AD"/>
    <w:rsid w:val="00D11B63"/>
    <w:rsid w:val="00D134E9"/>
    <w:rsid w:val="00D17785"/>
    <w:rsid w:val="00D2232B"/>
    <w:rsid w:val="00D258D1"/>
    <w:rsid w:val="00D25BA8"/>
    <w:rsid w:val="00D2626A"/>
    <w:rsid w:val="00D30074"/>
    <w:rsid w:val="00D31DE5"/>
    <w:rsid w:val="00D3289A"/>
    <w:rsid w:val="00D333F8"/>
    <w:rsid w:val="00D3359A"/>
    <w:rsid w:val="00D350DC"/>
    <w:rsid w:val="00D35D4B"/>
    <w:rsid w:val="00D36277"/>
    <w:rsid w:val="00D40450"/>
    <w:rsid w:val="00D42680"/>
    <w:rsid w:val="00D427D0"/>
    <w:rsid w:val="00D43C38"/>
    <w:rsid w:val="00D43DA5"/>
    <w:rsid w:val="00D43EC4"/>
    <w:rsid w:val="00D44CC5"/>
    <w:rsid w:val="00D44ED4"/>
    <w:rsid w:val="00D451CD"/>
    <w:rsid w:val="00D4622F"/>
    <w:rsid w:val="00D462BB"/>
    <w:rsid w:val="00D4788B"/>
    <w:rsid w:val="00D47C7B"/>
    <w:rsid w:val="00D502CE"/>
    <w:rsid w:val="00D509B8"/>
    <w:rsid w:val="00D51CB1"/>
    <w:rsid w:val="00D52B79"/>
    <w:rsid w:val="00D52B7E"/>
    <w:rsid w:val="00D53A9C"/>
    <w:rsid w:val="00D54DB6"/>
    <w:rsid w:val="00D56480"/>
    <w:rsid w:val="00D6140C"/>
    <w:rsid w:val="00D6216C"/>
    <w:rsid w:val="00D624C0"/>
    <w:rsid w:val="00D62723"/>
    <w:rsid w:val="00D650B2"/>
    <w:rsid w:val="00D6584E"/>
    <w:rsid w:val="00D678D6"/>
    <w:rsid w:val="00D709B0"/>
    <w:rsid w:val="00D70EC2"/>
    <w:rsid w:val="00D71879"/>
    <w:rsid w:val="00D7289A"/>
    <w:rsid w:val="00D74234"/>
    <w:rsid w:val="00D75EB3"/>
    <w:rsid w:val="00D761C6"/>
    <w:rsid w:val="00D8248F"/>
    <w:rsid w:val="00D83C28"/>
    <w:rsid w:val="00D83F79"/>
    <w:rsid w:val="00D847CF"/>
    <w:rsid w:val="00D85F2E"/>
    <w:rsid w:val="00D8764B"/>
    <w:rsid w:val="00D8776B"/>
    <w:rsid w:val="00D8780E"/>
    <w:rsid w:val="00D90CD2"/>
    <w:rsid w:val="00D9178E"/>
    <w:rsid w:val="00D91992"/>
    <w:rsid w:val="00D922B0"/>
    <w:rsid w:val="00D93E5F"/>
    <w:rsid w:val="00D964B1"/>
    <w:rsid w:val="00D9659E"/>
    <w:rsid w:val="00D977E8"/>
    <w:rsid w:val="00D97FBD"/>
    <w:rsid w:val="00DA0831"/>
    <w:rsid w:val="00DA1C0F"/>
    <w:rsid w:val="00DA1DFF"/>
    <w:rsid w:val="00DA2054"/>
    <w:rsid w:val="00DA55AB"/>
    <w:rsid w:val="00DA654D"/>
    <w:rsid w:val="00DB0313"/>
    <w:rsid w:val="00DB0C43"/>
    <w:rsid w:val="00DB124B"/>
    <w:rsid w:val="00DB3D7A"/>
    <w:rsid w:val="00DB47DE"/>
    <w:rsid w:val="00DB4DB6"/>
    <w:rsid w:val="00DB513C"/>
    <w:rsid w:val="00DB650C"/>
    <w:rsid w:val="00DB70F6"/>
    <w:rsid w:val="00DB7654"/>
    <w:rsid w:val="00DB7939"/>
    <w:rsid w:val="00DC05A9"/>
    <w:rsid w:val="00DC0E0E"/>
    <w:rsid w:val="00DC1DA9"/>
    <w:rsid w:val="00DC30A6"/>
    <w:rsid w:val="00DC405E"/>
    <w:rsid w:val="00DC5F4C"/>
    <w:rsid w:val="00DC6643"/>
    <w:rsid w:val="00DC6ECC"/>
    <w:rsid w:val="00DC6F6D"/>
    <w:rsid w:val="00DD02A2"/>
    <w:rsid w:val="00DD058E"/>
    <w:rsid w:val="00DD0F25"/>
    <w:rsid w:val="00DD10BA"/>
    <w:rsid w:val="00DD309E"/>
    <w:rsid w:val="00DD3B30"/>
    <w:rsid w:val="00DD4630"/>
    <w:rsid w:val="00DD5E93"/>
    <w:rsid w:val="00DD7260"/>
    <w:rsid w:val="00DD7A3F"/>
    <w:rsid w:val="00DE0236"/>
    <w:rsid w:val="00DE0DED"/>
    <w:rsid w:val="00DE153D"/>
    <w:rsid w:val="00DE1745"/>
    <w:rsid w:val="00DE189F"/>
    <w:rsid w:val="00DE257E"/>
    <w:rsid w:val="00DE288D"/>
    <w:rsid w:val="00DE3F44"/>
    <w:rsid w:val="00DE51A5"/>
    <w:rsid w:val="00DE572E"/>
    <w:rsid w:val="00DE59DF"/>
    <w:rsid w:val="00DE5A47"/>
    <w:rsid w:val="00DE6F9B"/>
    <w:rsid w:val="00DE73E6"/>
    <w:rsid w:val="00DE76EF"/>
    <w:rsid w:val="00DF23FC"/>
    <w:rsid w:val="00DF348F"/>
    <w:rsid w:val="00DF511F"/>
    <w:rsid w:val="00DF5295"/>
    <w:rsid w:val="00DF59CF"/>
    <w:rsid w:val="00DF6069"/>
    <w:rsid w:val="00DF678B"/>
    <w:rsid w:val="00DF71FB"/>
    <w:rsid w:val="00DF7B1E"/>
    <w:rsid w:val="00E00C7C"/>
    <w:rsid w:val="00E00FB0"/>
    <w:rsid w:val="00E018EF"/>
    <w:rsid w:val="00E0223F"/>
    <w:rsid w:val="00E023D7"/>
    <w:rsid w:val="00E02806"/>
    <w:rsid w:val="00E02838"/>
    <w:rsid w:val="00E05C09"/>
    <w:rsid w:val="00E06CE3"/>
    <w:rsid w:val="00E06F96"/>
    <w:rsid w:val="00E07B78"/>
    <w:rsid w:val="00E10FC2"/>
    <w:rsid w:val="00E112CE"/>
    <w:rsid w:val="00E12F7D"/>
    <w:rsid w:val="00E1333C"/>
    <w:rsid w:val="00E146AF"/>
    <w:rsid w:val="00E1477D"/>
    <w:rsid w:val="00E1542A"/>
    <w:rsid w:val="00E1580B"/>
    <w:rsid w:val="00E1610B"/>
    <w:rsid w:val="00E162EF"/>
    <w:rsid w:val="00E16EAE"/>
    <w:rsid w:val="00E174DD"/>
    <w:rsid w:val="00E209FF"/>
    <w:rsid w:val="00E20B3B"/>
    <w:rsid w:val="00E20D01"/>
    <w:rsid w:val="00E2225D"/>
    <w:rsid w:val="00E223EC"/>
    <w:rsid w:val="00E232C9"/>
    <w:rsid w:val="00E237B8"/>
    <w:rsid w:val="00E24CDC"/>
    <w:rsid w:val="00E26E1E"/>
    <w:rsid w:val="00E3222A"/>
    <w:rsid w:val="00E33A18"/>
    <w:rsid w:val="00E33C8F"/>
    <w:rsid w:val="00E35AFB"/>
    <w:rsid w:val="00E3659B"/>
    <w:rsid w:val="00E370B6"/>
    <w:rsid w:val="00E37AE3"/>
    <w:rsid w:val="00E41A42"/>
    <w:rsid w:val="00E426B5"/>
    <w:rsid w:val="00E4603B"/>
    <w:rsid w:val="00E46B26"/>
    <w:rsid w:val="00E51872"/>
    <w:rsid w:val="00E5356D"/>
    <w:rsid w:val="00E56001"/>
    <w:rsid w:val="00E568FA"/>
    <w:rsid w:val="00E56BA5"/>
    <w:rsid w:val="00E57135"/>
    <w:rsid w:val="00E60547"/>
    <w:rsid w:val="00E614A8"/>
    <w:rsid w:val="00E62ADD"/>
    <w:rsid w:val="00E63E1E"/>
    <w:rsid w:val="00E63E29"/>
    <w:rsid w:val="00E66125"/>
    <w:rsid w:val="00E678DD"/>
    <w:rsid w:val="00E70D1B"/>
    <w:rsid w:val="00E716EC"/>
    <w:rsid w:val="00E7194F"/>
    <w:rsid w:val="00E72E16"/>
    <w:rsid w:val="00E735CF"/>
    <w:rsid w:val="00E7409B"/>
    <w:rsid w:val="00E7435A"/>
    <w:rsid w:val="00E750C3"/>
    <w:rsid w:val="00E7549E"/>
    <w:rsid w:val="00E75C52"/>
    <w:rsid w:val="00E76045"/>
    <w:rsid w:val="00E7776D"/>
    <w:rsid w:val="00E806BE"/>
    <w:rsid w:val="00E80D6E"/>
    <w:rsid w:val="00E822C5"/>
    <w:rsid w:val="00E8256F"/>
    <w:rsid w:val="00E83E08"/>
    <w:rsid w:val="00E84CC2"/>
    <w:rsid w:val="00E85BCD"/>
    <w:rsid w:val="00E85E57"/>
    <w:rsid w:val="00E91102"/>
    <w:rsid w:val="00E9132B"/>
    <w:rsid w:val="00E9591A"/>
    <w:rsid w:val="00E9638A"/>
    <w:rsid w:val="00E9674B"/>
    <w:rsid w:val="00EA0110"/>
    <w:rsid w:val="00EA1974"/>
    <w:rsid w:val="00EA45D1"/>
    <w:rsid w:val="00EA60F4"/>
    <w:rsid w:val="00EA61A5"/>
    <w:rsid w:val="00EB03B1"/>
    <w:rsid w:val="00EB1D77"/>
    <w:rsid w:val="00EB1DF0"/>
    <w:rsid w:val="00EB2A4D"/>
    <w:rsid w:val="00EB2B69"/>
    <w:rsid w:val="00EB2CE0"/>
    <w:rsid w:val="00EB2DAC"/>
    <w:rsid w:val="00EB3D5B"/>
    <w:rsid w:val="00EB6DD1"/>
    <w:rsid w:val="00EC23CA"/>
    <w:rsid w:val="00EC2A6D"/>
    <w:rsid w:val="00EC2C1B"/>
    <w:rsid w:val="00EC316B"/>
    <w:rsid w:val="00EC3B19"/>
    <w:rsid w:val="00EC3D39"/>
    <w:rsid w:val="00EC3E71"/>
    <w:rsid w:val="00EC43FE"/>
    <w:rsid w:val="00EC55E4"/>
    <w:rsid w:val="00EC60C5"/>
    <w:rsid w:val="00EC6526"/>
    <w:rsid w:val="00ED0464"/>
    <w:rsid w:val="00ED0606"/>
    <w:rsid w:val="00ED0607"/>
    <w:rsid w:val="00ED12F1"/>
    <w:rsid w:val="00ED2671"/>
    <w:rsid w:val="00ED2720"/>
    <w:rsid w:val="00ED3E45"/>
    <w:rsid w:val="00ED41C3"/>
    <w:rsid w:val="00ED480D"/>
    <w:rsid w:val="00ED7141"/>
    <w:rsid w:val="00ED7567"/>
    <w:rsid w:val="00EE1CB0"/>
    <w:rsid w:val="00EE2322"/>
    <w:rsid w:val="00EE25F7"/>
    <w:rsid w:val="00EE36D7"/>
    <w:rsid w:val="00EE38FD"/>
    <w:rsid w:val="00EE40AE"/>
    <w:rsid w:val="00EE46B1"/>
    <w:rsid w:val="00EE4FC2"/>
    <w:rsid w:val="00EE5390"/>
    <w:rsid w:val="00EE5FE6"/>
    <w:rsid w:val="00EE616F"/>
    <w:rsid w:val="00EE6324"/>
    <w:rsid w:val="00EE66E7"/>
    <w:rsid w:val="00EE7F75"/>
    <w:rsid w:val="00EF0A2C"/>
    <w:rsid w:val="00EF15D0"/>
    <w:rsid w:val="00EF1724"/>
    <w:rsid w:val="00EF272B"/>
    <w:rsid w:val="00EF2957"/>
    <w:rsid w:val="00EF2C3E"/>
    <w:rsid w:val="00EF2FCD"/>
    <w:rsid w:val="00EF34EE"/>
    <w:rsid w:val="00EF41F5"/>
    <w:rsid w:val="00EF450D"/>
    <w:rsid w:val="00EF5189"/>
    <w:rsid w:val="00F002FB"/>
    <w:rsid w:val="00F005FC"/>
    <w:rsid w:val="00F00806"/>
    <w:rsid w:val="00F01C11"/>
    <w:rsid w:val="00F01E9A"/>
    <w:rsid w:val="00F05C4F"/>
    <w:rsid w:val="00F069A2"/>
    <w:rsid w:val="00F070E6"/>
    <w:rsid w:val="00F0748E"/>
    <w:rsid w:val="00F10460"/>
    <w:rsid w:val="00F117B2"/>
    <w:rsid w:val="00F12E51"/>
    <w:rsid w:val="00F1317B"/>
    <w:rsid w:val="00F137CB"/>
    <w:rsid w:val="00F14947"/>
    <w:rsid w:val="00F15629"/>
    <w:rsid w:val="00F157E7"/>
    <w:rsid w:val="00F1629E"/>
    <w:rsid w:val="00F16341"/>
    <w:rsid w:val="00F16C77"/>
    <w:rsid w:val="00F17B35"/>
    <w:rsid w:val="00F2033A"/>
    <w:rsid w:val="00F206D5"/>
    <w:rsid w:val="00F20BE7"/>
    <w:rsid w:val="00F2131B"/>
    <w:rsid w:val="00F22696"/>
    <w:rsid w:val="00F22F41"/>
    <w:rsid w:val="00F2313D"/>
    <w:rsid w:val="00F24472"/>
    <w:rsid w:val="00F25616"/>
    <w:rsid w:val="00F27D5D"/>
    <w:rsid w:val="00F30B2E"/>
    <w:rsid w:val="00F31A6B"/>
    <w:rsid w:val="00F32193"/>
    <w:rsid w:val="00F3266F"/>
    <w:rsid w:val="00F32A9A"/>
    <w:rsid w:val="00F36499"/>
    <w:rsid w:val="00F368F1"/>
    <w:rsid w:val="00F36907"/>
    <w:rsid w:val="00F36AB0"/>
    <w:rsid w:val="00F37271"/>
    <w:rsid w:val="00F3792A"/>
    <w:rsid w:val="00F42182"/>
    <w:rsid w:val="00F42D3A"/>
    <w:rsid w:val="00F42E4A"/>
    <w:rsid w:val="00F42E78"/>
    <w:rsid w:val="00F42F13"/>
    <w:rsid w:val="00F46952"/>
    <w:rsid w:val="00F469B7"/>
    <w:rsid w:val="00F508E5"/>
    <w:rsid w:val="00F52330"/>
    <w:rsid w:val="00F53B74"/>
    <w:rsid w:val="00F54477"/>
    <w:rsid w:val="00F558B2"/>
    <w:rsid w:val="00F558EB"/>
    <w:rsid w:val="00F55FFC"/>
    <w:rsid w:val="00F563C4"/>
    <w:rsid w:val="00F57DF2"/>
    <w:rsid w:val="00F609B2"/>
    <w:rsid w:val="00F6323E"/>
    <w:rsid w:val="00F63342"/>
    <w:rsid w:val="00F63515"/>
    <w:rsid w:val="00F6387E"/>
    <w:rsid w:val="00F63A5B"/>
    <w:rsid w:val="00F63A83"/>
    <w:rsid w:val="00F63E0E"/>
    <w:rsid w:val="00F67637"/>
    <w:rsid w:val="00F72063"/>
    <w:rsid w:val="00F737EF"/>
    <w:rsid w:val="00F73B4E"/>
    <w:rsid w:val="00F74AD5"/>
    <w:rsid w:val="00F75B85"/>
    <w:rsid w:val="00F77474"/>
    <w:rsid w:val="00F8004F"/>
    <w:rsid w:val="00F84B9D"/>
    <w:rsid w:val="00F84CBF"/>
    <w:rsid w:val="00F869AA"/>
    <w:rsid w:val="00F87BFA"/>
    <w:rsid w:val="00F91767"/>
    <w:rsid w:val="00F942AA"/>
    <w:rsid w:val="00F94649"/>
    <w:rsid w:val="00F94F93"/>
    <w:rsid w:val="00F95D8C"/>
    <w:rsid w:val="00F9671E"/>
    <w:rsid w:val="00F96775"/>
    <w:rsid w:val="00F97508"/>
    <w:rsid w:val="00FA1799"/>
    <w:rsid w:val="00FA2448"/>
    <w:rsid w:val="00FA275C"/>
    <w:rsid w:val="00FA3ABB"/>
    <w:rsid w:val="00FA3C59"/>
    <w:rsid w:val="00FA3EF7"/>
    <w:rsid w:val="00FA4B23"/>
    <w:rsid w:val="00FA6BE3"/>
    <w:rsid w:val="00FA7F47"/>
    <w:rsid w:val="00FB0D3E"/>
    <w:rsid w:val="00FB11D6"/>
    <w:rsid w:val="00FB140C"/>
    <w:rsid w:val="00FB2E09"/>
    <w:rsid w:val="00FB377E"/>
    <w:rsid w:val="00FB3E07"/>
    <w:rsid w:val="00FB7041"/>
    <w:rsid w:val="00FC1BEB"/>
    <w:rsid w:val="00FC254C"/>
    <w:rsid w:val="00FC4396"/>
    <w:rsid w:val="00FC4749"/>
    <w:rsid w:val="00FC47F5"/>
    <w:rsid w:val="00FC53A6"/>
    <w:rsid w:val="00FD0451"/>
    <w:rsid w:val="00FD0467"/>
    <w:rsid w:val="00FD11EC"/>
    <w:rsid w:val="00FD1870"/>
    <w:rsid w:val="00FD55B7"/>
    <w:rsid w:val="00FD57FC"/>
    <w:rsid w:val="00FD6D51"/>
    <w:rsid w:val="00FD7587"/>
    <w:rsid w:val="00FD7651"/>
    <w:rsid w:val="00FE0EF9"/>
    <w:rsid w:val="00FE1DEF"/>
    <w:rsid w:val="00FE25D2"/>
    <w:rsid w:val="00FE291B"/>
    <w:rsid w:val="00FE2EFD"/>
    <w:rsid w:val="00FE33D1"/>
    <w:rsid w:val="00FE5C0C"/>
    <w:rsid w:val="00FE7DF1"/>
    <w:rsid w:val="00FF0602"/>
    <w:rsid w:val="00FF0862"/>
    <w:rsid w:val="00FF092D"/>
    <w:rsid w:val="00FF1C74"/>
    <w:rsid w:val="00FF25C5"/>
    <w:rsid w:val="00FF4977"/>
    <w:rsid w:val="00FF592C"/>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62" fill="f" fillcolor="window" stroke="f">
      <v:fill color="window" on="f"/>
      <v:stroke on="f"/>
    </o:shapedefaults>
    <o:shapelayout v:ext="edit">
      <o:idmap v:ext="edit" data="1"/>
      <o:rules v:ext="edit">
        <o:r id="V:Rule4" type="connector" idref="#_x0000_s1040"/>
        <o:r id="V:Rule5" type="connector" idref="#_x0000_s1041"/>
        <o:r id="V:Rule6"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AD5"/>
  </w:style>
  <w:style w:type="paragraph" w:styleId="Heading1">
    <w:name w:val="heading 1"/>
    <w:basedOn w:val="Normal"/>
    <w:next w:val="Normal"/>
    <w:qFormat/>
    <w:rsid w:val="005B2739"/>
    <w:pPr>
      <w:keepNext/>
      <w:jc w:val="center"/>
      <w:outlineLvl w:val="0"/>
    </w:pPr>
    <w:rPr>
      <w:b/>
      <w:sz w:val="32"/>
    </w:rPr>
  </w:style>
  <w:style w:type="paragraph" w:styleId="Heading3">
    <w:name w:val="heading 3"/>
    <w:basedOn w:val="Normal"/>
    <w:next w:val="Normal"/>
    <w:qFormat/>
    <w:rsid w:val="005B2739"/>
    <w:pPr>
      <w:keepNext/>
      <w:outlineLvl w:val="2"/>
    </w:pPr>
    <w:rPr>
      <w:rFonts w:ascii="Arial" w:hAnsi="Arial"/>
      <w:b/>
      <w:sz w:val="24"/>
    </w:rPr>
  </w:style>
  <w:style w:type="paragraph" w:styleId="Heading5">
    <w:name w:val="heading 5"/>
    <w:basedOn w:val="Normal"/>
    <w:next w:val="Normal"/>
    <w:qFormat/>
    <w:rsid w:val="005B2739"/>
    <w:pPr>
      <w:keepNext/>
      <w:jc w:val="center"/>
      <w:outlineLvl w:val="4"/>
    </w:pPr>
    <w:rPr>
      <w:i/>
    </w:rPr>
  </w:style>
  <w:style w:type="paragraph" w:styleId="Heading6">
    <w:name w:val="heading 6"/>
    <w:basedOn w:val="Normal"/>
    <w:next w:val="Normal"/>
    <w:qFormat/>
    <w:rsid w:val="005B2739"/>
    <w:pPr>
      <w:keepNext/>
      <w:outlineLvl w:val="5"/>
    </w:pPr>
    <w:rPr>
      <w:rFonts w:ascii="Arial" w:hAnsi="Arial"/>
      <w:sz w:val="24"/>
    </w:rPr>
  </w:style>
  <w:style w:type="paragraph" w:styleId="Heading7">
    <w:name w:val="heading 7"/>
    <w:basedOn w:val="Normal"/>
    <w:next w:val="Normal"/>
    <w:qFormat/>
    <w:rsid w:val="005B2739"/>
    <w:pPr>
      <w:keepNext/>
      <w:jc w:val="center"/>
      <w:outlineLvl w:val="6"/>
    </w:pPr>
  </w:style>
  <w:style w:type="paragraph" w:styleId="Heading8">
    <w:name w:val="heading 8"/>
    <w:basedOn w:val="Normal"/>
    <w:next w:val="Normal"/>
    <w:qFormat/>
    <w:rsid w:val="005B2739"/>
    <w:pPr>
      <w:keepNext/>
      <w:ind w:right="58"/>
      <w:jc w:val="right"/>
      <w:outlineLvl w:val="7"/>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B34AD5"/>
  </w:style>
  <w:style w:type="paragraph" w:styleId="Header">
    <w:name w:val="header"/>
    <w:basedOn w:val="Normal"/>
    <w:rsid w:val="00B34AD5"/>
    <w:pPr>
      <w:tabs>
        <w:tab w:val="center" w:pos="4320"/>
        <w:tab w:val="right" w:pos="8640"/>
      </w:tabs>
      <w:jc w:val="center"/>
    </w:pPr>
    <w:rPr>
      <w:rFonts w:ascii="Arial Black" w:hAnsi="Arial Black"/>
      <w:b/>
      <w:sz w:val="40"/>
    </w:rPr>
  </w:style>
  <w:style w:type="paragraph" w:styleId="Footer">
    <w:name w:val="footer"/>
    <w:basedOn w:val="Normal"/>
    <w:rsid w:val="00B34AD5"/>
    <w:pPr>
      <w:tabs>
        <w:tab w:val="center" w:pos="4320"/>
        <w:tab w:val="right" w:pos="8640"/>
      </w:tabs>
    </w:pPr>
  </w:style>
  <w:style w:type="paragraph" w:customStyle="1" w:styleId="xl24">
    <w:name w:val="xl24"/>
    <w:basedOn w:val="Normal"/>
    <w:rsid w:val="00B34AD5"/>
    <w:pPr>
      <w:spacing w:before="100" w:beforeAutospacing="1" w:after="100" w:afterAutospacing="1"/>
    </w:pPr>
    <w:rPr>
      <w:rFonts w:ascii="Arial" w:hAnsi="Arial" w:cs="Arial"/>
      <w:b/>
      <w:bCs/>
      <w:sz w:val="18"/>
      <w:szCs w:val="18"/>
    </w:rPr>
  </w:style>
  <w:style w:type="paragraph" w:customStyle="1" w:styleId="xl25">
    <w:name w:val="xl25"/>
    <w:basedOn w:val="Normal"/>
    <w:rsid w:val="00B34AD5"/>
    <w:pPr>
      <w:spacing w:before="100" w:beforeAutospacing="1" w:after="100" w:afterAutospacing="1"/>
    </w:pPr>
    <w:rPr>
      <w:rFonts w:ascii="Arial" w:hAnsi="Arial" w:cs="Arial"/>
      <w:sz w:val="18"/>
      <w:szCs w:val="18"/>
    </w:rPr>
  </w:style>
  <w:style w:type="paragraph" w:styleId="BalloonText">
    <w:name w:val="Balloon Text"/>
    <w:basedOn w:val="Normal"/>
    <w:semiHidden/>
    <w:rsid w:val="003E555F"/>
    <w:rPr>
      <w:rFonts w:ascii="Tahoma" w:hAnsi="Tahoma" w:cs="Tahoma"/>
      <w:sz w:val="16"/>
      <w:szCs w:val="16"/>
    </w:rPr>
  </w:style>
  <w:style w:type="paragraph" w:styleId="BodyText">
    <w:name w:val="Body Text"/>
    <w:basedOn w:val="Normal"/>
    <w:rsid w:val="005B2739"/>
    <w:rPr>
      <w:sz w:val="18"/>
    </w:rPr>
  </w:style>
  <w:style w:type="paragraph" w:styleId="BodyText2">
    <w:name w:val="Body Text 2"/>
    <w:basedOn w:val="Normal"/>
    <w:rsid w:val="005B2739"/>
    <w:pPr>
      <w:ind w:right="58"/>
      <w:jc w:val="center"/>
    </w:pPr>
    <w:rPr>
      <w:rFonts w:ascii="Arial" w:hAnsi="Arial"/>
      <w:i/>
      <w:sz w:val="16"/>
    </w:rPr>
  </w:style>
  <w:style w:type="character" w:styleId="PageNumber">
    <w:name w:val="page number"/>
    <w:basedOn w:val="DefaultParagraphFont"/>
    <w:rsid w:val="00A7349B"/>
  </w:style>
  <w:style w:type="paragraph" w:styleId="FootnoteText">
    <w:name w:val="footnote text"/>
    <w:basedOn w:val="Normal"/>
    <w:semiHidden/>
    <w:rsid w:val="00347010"/>
  </w:style>
  <w:style w:type="character" w:styleId="FootnoteReference">
    <w:name w:val="footnote reference"/>
    <w:basedOn w:val="DefaultParagraphFont"/>
    <w:semiHidden/>
    <w:rsid w:val="00347010"/>
    <w:rPr>
      <w:vertAlign w:val="superscript"/>
    </w:rPr>
  </w:style>
  <w:style w:type="paragraph" w:styleId="EndnoteText">
    <w:name w:val="endnote text"/>
    <w:basedOn w:val="Normal"/>
    <w:semiHidden/>
    <w:rsid w:val="00347010"/>
  </w:style>
  <w:style w:type="character" w:styleId="EndnoteReference">
    <w:name w:val="endnote reference"/>
    <w:basedOn w:val="DefaultParagraphFont"/>
    <w:semiHidden/>
    <w:rsid w:val="00347010"/>
    <w:rPr>
      <w:vertAlign w:val="superscript"/>
    </w:rPr>
  </w:style>
  <w:style w:type="character" w:styleId="Hyperlink">
    <w:name w:val="Hyperlink"/>
    <w:basedOn w:val="DefaultParagraphFont"/>
    <w:rsid w:val="00871BBF"/>
    <w:rPr>
      <w:color w:val="0000FF"/>
      <w:u w:val="single"/>
    </w:rPr>
  </w:style>
  <w:style w:type="table" w:styleId="TableGrid">
    <w:name w:val="Table Grid"/>
    <w:basedOn w:val="TableNormal"/>
    <w:rsid w:val="0076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ptCenteredBefore2pt">
    <w:name w:val="Style 8 pt Centered Before:  2 pt"/>
    <w:basedOn w:val="Normal"/>
    <w:rsid w:val="00E614A8"/>
    <w:pPr>
      <w:spacing w:before="40"/>
      <w:jc w:val="center"/>
    </w:pPr>
    <w:rPr>
      <w:sz w:val="16"/>
    </w:rPr>
  </w:style>
  <w:style w:type="paragraph" w:styleId="PlainText">
    <w:name w:val="Plain Text"/>
    <w:basedOn w:val="Normal"/>
    <w:link w:val="PlainTextChar"/>
    <w:uiPriority w:val="99"/>
    <w:unhideWhenUsed/>
    <w:rsid w:val="00AC642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C6426"/>
    <w:rPr>
      <w:rFonts w:ascii="Consolas" w:eastAsiaTheme="minorHAnsi" w:hAnsi="Consolas" w:cstheme="minorBidi"/>
      <w:sz w:val="21"/>
      <w:szCs w:val="21"/>
    </w:rPr>
  </w:style>
  <w:style w:type="paragraph" w:styleId="ListParagraph">
    <w:name w:val="List Paragraph"/>
    <w:basedOn w:val="Normal"/>
    <w:uiPriority w:val="34"/>
    <w:qFormat/>
    <w:rsid w:val="007359BB"/>
    <w:pPr>
      <w:ind w:left="720"/>
      <w:contextualSpacing/>
    </w:pPr>
  </w:style>
  <w:style w:type="paragraph" w:styleId="NoSpacing">
    <w:name w:val="No Spacing"/>
    <w:uiPriority w:val="1"/>
    <w:qFormat/>
    <w:rsid w:val="003F5562"/>
  </w:style>
  <w:style w:type="paragraph" w:styleId="Revision">
    <w:name w:val="Revision"/>
    <w:hidden/>
    <w:uiPriority w:val="99"/>
    <w:semiHidden/>
    <w:rsid w:val="00391DC1"/>
  </w:style>
  <w:style w:type="paragraph" w:styleId="NormalWeb">
    <w:name w:val="Normal (Web)"/>
    <w:basedOn w:val="Normal"/>
    <w:uiPriority w:val="99"/>
    <w:unhideWhenUsed/>
    <w:rsid w:val="00351B7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564">
      <w:bodyDiv w:val="1"/>
      <w:marLeft w:val="0"/>
      <w:marRight w:val="0"/>
      <w:marTop w:val="0"/>
      <w:marBottom w:val="0"/>
      <w:divBdr>
        <w:top w:val="none" w:sz="0" w:space="0" w:color="auto"/>
        <w:left w:val="none" w:sz="0" w:space="0" w:color="auto"/>
        <w:bottom w:val="none" w:sz="0" w:space="0" w:color="auto"/>
        <w:right w:val="none" w:sz="0" w:space="0" w:color="auto"/>
      </w:divBdr>
    </w:div>
    <w:div w:id="18773845">
      <w:bodyDiv w:val="1"/>
      <w:marLeft w:val="0"/>
      <w:marRight w:val="0"/>
      <w:marTop w:val="0"/>
      <w:marBottom w:val="0"/>
      <w:divBdr>
        <w:top w:val="none" w:sz="0" w:space="0" w:color="auto"/>
        <w:left w:val="none" w:sz="0" w:space="0" w:color="auto"/>
        <w:bottom w:val="none" w:sz="0" w:space="0" w:color="auto"/>
        <w:right w:val="none" w:sz="0" w:space="0" w:color="auto"/>
      </w:divBdr>
    </w:div>
    <w:div w:id="32973493">
      <w:bodyDiv w:val="1"/>
      <w:marLeft w:val="0"/>
      <w:marRight w:val="0"/>
      <w:marTop w:val="0"/>
      <w:marBottom w:val="0"/>
      <w:divBdr>
        <w:top w:val="none" w:sz="0" w:space="0" w:color="auto"/>
        <w:left w:val="none" w:sz="0" w:space="0" w:color="auto"/>
        <w:bottom w:val="none" w:sz="0" w:space="0" w:color="auto"/>
        <w:right w:val="none" w:sz="0" w:space="0" w:color="auto"/>
      </w:divBdr>
    </w:div>
    <w:div w:id="34353250">
      <w:bodyDiv w:val="1"/>
      <w:marLeft w:val="0"/>
      <w:marRight w:val="0"/>
      <w:marTop w:val="0"/>
      <w:marBottom w:val="0"/>
      <w:divBdr>
        <w:top w:val="none" w:sz="0" w:space="0" w:color="auto"/>
        <w:left w:val="none" w:sz="0" w:space="0" w:color="auto"/>
        <w:bottom w:val="none" w:sz="0" w:space="0" w:color="auto"/>
        <w:right w:val="none" w:sz="0" w:space="0" w:color="auto"/>
      </w:divBdr>
    </w:div>
    <w:div w:id="46345625">
      <w:bodyDiv w:val="1"/>
      <w:marLeft w:val="0"/>
      <w:marRight w:val="0"/>
      <w:marTop w:val="0"/>
      <w:marBottom w:val="0"/>
      <w:divBdr>
        <w:top w:val="none" w:sz="0" w:space="0" w:color="auto"/>
        <w:left w:val="none" w:sz="0" w:space="0" w:color="auto"/>
        <w:bottom w:val="none" w:sz="0" w:space="0" w:color="auto"/>
        <w:right w:val="none" w:sz="0" w:space="0" w:color="auto"/>
      </w:divBdr>
    </w:div>
    <w:div w:id="59180964">
      <w:bodyDiv w:val="1"/>
      <w:marLeft w:val="0"/>
      <w:marRight w:val="0"/>
      <w:marTop w:val="0"/>
      <w:marBottom w:val="0"/>
      <w:divBdr>
        <w:top w:val="none" w:sz="0" w:space="0" w:color="auto"/>
        <w:left w:val="none" w:sz="0" w:space="0" w:color="auto"/>
        <w:bottom w:val="none" w:sz="0" w:space="0" w:color="auto"/>
        <w:right w:val="none" w:sz="0" w:space="0" w:color="auto"/>
      </w:divBdr>
    </w:div>
    <w:div w:id="60837418">
      <w:bodyDiv w:val="1"/>
      <w:marLeft w:val="0"/>
      <w:marRight w:val="0"/>
      <w:marTop w:val="0"/>
      <w:marBottom w:val="0"/>
      <w:divBdr>
        <w:top w:val="none" w:sz="0" w:space="0" w:color="auto"/>
        <w:left w:val="none" w:sz="0" w:space="0" w:color="auto"/>
        <w:bottom w:val="none" w:sz="0" w:space="0" w:color="auto"/>
        <w:right w:val="none" w:sz="0" w:space="0" w:color="auto"/>
      </w:divBdr>
    </w:div>
    <w:div w:id="64963698">
      <w:bodyDiv w:val="1"/>
      <w:marLeft w:val="0"/>
      <w:marRight w:val="0"/>
      <w:marTop w:val="0"/>
      <w:marBottom w:val="0"/>
      <w:divBdr>
        <w:top w:val="none" w:sz="0" w:space="0" w:color="auto"/>
        <w:left w:val="none" w:sz="0" w:space="0" w:color="auto"/>
        <w:bottom w:val="none" w:sz="0" w:space="0" w:color="auto"/>
        <w:right w:val="none" w:sz="0" w:space="0" w:color="auto"/>
      </w:divBdr>
    </w:div>
    <w:div w:id="87698946">
      <w:bodyDiv w:val="1"/>
      <w:marLeft w:val="0"/>
      <w:marRight w:val="0"/>
      <w:marTop w:val="0"/>
      <w:marBottom w:val="0"/>
      <w:divBdr>
        <w:top w:val="none" w:sz="0" w:space="0" w:color="auto"/>
        <w:left w:val="none" w:sz="0" w:space="0" w:color="auto"/>
        <w:bottom w:val="none" w:sz="0" w:space="0" w:color="auto"/>
        <w:right w:val="none" w:sz="0" w:space="0" w:color="auto"/>
      </w:divBdr>
    </w:div>
    <w:div w:id="90247868">
      <w:bodyDiv w:val="1"/>
      <w:marLeft w:val="0"/>
      <w:marRight w:val="0"/>
      <w:marTop w:val="0"/>
      <w:marBottom w:val="0"/>
      <w:divBdr>
        <w:top w:val="none" w:sz="0" w:space="0" w:color="auto"/>
        <w:left w:val="none" w:sz="0" w:space="0" w:color="auto"/>
        <w:bottom w:val="none" w:sz="0" w:space="0" w:color="auto"/>
        <w:right w:val="none" w:sz="0" w:space="0" w:color="auto"/>
      </w:divBdr>
    </w:div>
    <w:div w:id="121509928">
      <w:bodyDiv w:val="1"/>
      <w:marLeft w:val="0"/>
      <w:marRight w:val="0"/>
      <w:marTop w:val="0"/>
      <w:marBottom w:val="0"/>
      <w:divBdr>
        <w:top w:val="none" w:sz="0" w:space="0" w:color="auto"/>
        <w:left w:val="none" w:sz="0" w:space="0" w:color="auto"/>
        <w:bottom w:val="none" w:sz="0" w:space="0" w:color="auto"/>
        <w:right w:val="none" w:sz="0" w:space="0" w:color="auto"/>
      </w:divBdr>
    </w:div>
    <w:div w:id="123668866">
      <w:bodyDiv w:val="1"/>
      <w:marLeft w:val="0"/>
      <w:marRight w:val="0"/>
      <w:marTop w:val="0"/>
      <w:marBottom w:val="0"/>
      <w:divBdr>
        <w:top w:val="none" w:sz="0" w:space="0" w:color="auto"/>
        <w:left w:val="none" w:sz="0" w:space="0" w:color="auto"/>
        <w:bottom w:val="none" w:sz="0" w:space="0" w:color="auto"/>
        <w:right w:val="none" w:sz="0" w:space="0" w:color="auto"/>
      </w:divBdr>
    </w:div>
    <w:div w:id="139157438">
      <w:bodyDiv w:val="1"/>
      <w:marLeft w:val="0"/>
      <w:marRight w:val="0"/>
      <w:marTop w:val="0"/>
      <w:marBottom w:val="0"/>
      <w:divBdr>
        <w:top w:val="none" w:sz="0" w:space="0" w:color="auto"/>
        <w:left w:val="none" w:sz="0" w:space="0" w:color="auto"/>
        <w:bottom w:val="none" w:sz="0" w:space="0" w:color="auto"/>
        <w:right w:val="none" w:sz="0" w:space="0" w:color="auto"/>
      </w:divBdr>
    </w:div>
    <w:div w:id="160589330">
      <w:bodyDiv w:val="1"/>
      <w:marLeft w:val="0"/>
      <w:marRight w:val="0"/>
      <w:marTop w:val="0"/>
      <w:marBottom w:val="0"/>
      <w:divBdr>
        <w:top w:val="none" w:sz="0" w:space="0" w:color="auto"/>
        <w:left w:val="none" w:sz="0" w:space="0" w:color="auto"/>
        <w:bottom w:val="none" w:sz="0" w:space="0" w:color="auto"/>
        <w:right w:val="none" w:sz="0" w:space="0" w:color="auto"/>
      </w:divBdr>
    </w:div>
    <w:div w:id="186217345">
      <w:bodyDiv w:val="1"/>
      <w:marLeft w:val="0"/>
      <w:marRight w:val="0"/>
      <w:marTop w:val="0"/>
      <w:marBottom w:val="0"/>
      <w:divBdr>
        <w:top w:val="none" w:sz="0" w:space="0" w:color="auto"/>
        <w:left w:val="none" w:sz="0" w:space="0" w:color="auto"/>
        <w:bottom w:val="none" w:sz="0" w:space="0" w:color="auto"/>
        <w:right w:val="none" w:sz="0" w:space="0" w:color="auto"/>
      </w:divBdr>
    </w:div>
    <w:div w:id="194467502">
      <w:bodyDiv w:val="1"/>
      <w:marLeft w:val="0"/>
      <w:marRight w:val="0"/>
      <w:marTop w:val="0"/>
      <w:marBottom w:val="0"/>
      <w:divBdr>
        <w:top w:val="none" w:sz="0" w:space="0" w:color="auto"/>
        <w:left w:val="none" w:sz="0" w:space="0" w:color="auto"/>
        <w:bottom w:val="none" w:sz="0" w:space="0" w:color="auto"/>
        <w:right w:val="none" w:sz="0" w:space="0" w:color="auto"/>
      </w:divBdr>
    </w:div>
    <w:div w:id="201788814">
      <w:bodyDiv w:val="1"/>
      <w:marLeft w:val="0"/>
      <w:marRight w:val="0"/>
      <w:marTop w:val="0"/>
      <w:marBottom w:val="0"/>
      <w:divBdr>
        <w:top w:val="none" w:sz="0" w:space="0" w:color="auto"/>
        <w:left w:val="none" w:sz="0" w:space="0" w:color="auto"/>
        <w:bottom w:val="none" w:sz="0" w:space="0" w:color="auto"/>
        <w:right w:val="none" w:sz="0" w:space="0" w:color="auto"/>
      </w:divBdr>
    </w:div>
    <w:div w:id="213154066">
      <w:bodyDiv w:val="1"/>
      <w:marLeft w:val="0"/>
      <w:marRight w:val="0"/>
      <w:marTop w:val="0"/>
      <w:marBottom w:val="0"/>
      <w:divBdr>
        <w:top w:val="none" w:sz="0" w:space="0" w:color="auto"/>
        <w:left w:val="none" w:sz="0" w:space="0" w:color="auto"/>
        <w:bottom w:val="none" w:sz="0" w:space="0" w:color="auto"/>
        <w:right w:val="none" w:sz="0" w:space="0" w:color="auto"/>
      </w:divBdr>
    </w:div>
    <w:div w:id="217013658">
      <w:bodyDiv w:val="1"/>
      <w:marLeft w:val="0"/>
      <w:marRight w:val="0"/>
      <w:marTop w:val="0"/>
      <w:marBottom w:val="0"/>
      <w:divBdr>
        <w:top w:val="none" w:sz="0" w:space="0" w:color="auto"/>
        <w:left w:val="none" w:sz="0" w:space="0" w:color="auto"/>
        <w:bottom w:val="none" w:sz="0" w:space="0" w:color="auto"/>
        <w:right w:val="none" w:sz="0" w:space="0" w:color="auto"/>
      </w:divBdr>
    </w:div>
    <w:div w:id="229341529">
      <w:bodyDiv w:val="1"/>
      <w:marLeft w:val="0"/>
      <w:marRight w:val="0"/>
      <w:marTop w:val="0"/>
      <w:marBottom w:val="0"/>
      <w:divBdr>
        <w:top w:val="none" w:sz="0" w:space="0" w:color="auto"/>
        <w:left w:val="none" w:sz="0" w:space="0" w:color="auto"/>
        <w:bottom w:val="none" w:sz="0" w:space="0" w:color="auto"/>
        <w:right w:val="none" w:sz="0" w:space="0" w:color="auto"/>
      </w:divBdr>
    </w:div>
    <w:div w:id="229778734">
      <w:bodyDiv w:val="1"/>
      <w:marLeft w:val="0"/>
      <w:marRight w:val="0"/>
      <w:marTop w:val="0"/>
      <w:marBottom w:val="0"/>
      <w:divBdr>
        <w:top w:val="none" w:sz="0" w:space="0" w:color="auto"/>
        <w:left w:val="none" w:sz="0" w:space="0" w:color="auto"/>
        <w:bottom w:val="none" w:sz="0" w:space="0" w:color="auto"/>
        <w:right w:val="none" w:sz="0" w:space="0" w:color="auto"/>
      </w:divBdr>
    </w:div>
    <w:div w:id="244608305">
      <w:bodyDiv w:val="1"/>
      <w:marLeft w:val="0"/>
      <w:marRight w:val="0"/>
      <w:marTop w:val="0"/>
      <w:marBottom w:val="0"/>
      <w:divBdr>
        <w:top w:val="none" w:sz="0" w:space="0" w:color="auto"/>
        <w:left w:val="none" w:sz="0" w:space="0" w:color="auto"/>
        <w:bottom w:val="none" w:sz="0" w:space="0" w:color="auto"/>
        <w:right w:val="none" w:sz="0" w:space="0" w:color="auto"/>
      </w:divBdr>
    </w:div>
    <w:div w:id="252976350">
      <w:bodyDiv w:val="1"/>
      <w:marLeft w:val="0"/>
      <w:marRight w:val="0"/>
      <w:marTop w:val="0"/>
      <w:marBottom w:val="0"/>
      <w:divBdr>
        <w:top w:val="none" w:sz="0" w:space="0" w:color="auto"/>
        <w:left w:val="none" w:sz="0" w:space="0" w:color="auto"/>
        <w:bottom w:val="none" w:sz="0" w:space="0" w:color="auto"/>
        <w:right w:val="none" w:sz="0" w:space="0" w:color="auto"/>
      </w:divBdr>
    </w:div>
    <w:div w:id="259795612">
      <w:bodyDiv w:val="1"/>
      <w:marLeft w:val="0"/>
      <w:marRight w:val="0"/>
      <w:marTop w:val="0"/>
      <w:marBottom w:val="0"/>
      <w:divBdr>
        <w:top w:val="none" w:sz="0" w:space="0" w:color="auto"/>
        <w:left w:val="none" w:sz="0" w:space="0" w:color="auto"/>
        <w:bottom w:val="none" w:sz="0" w:space="0" w:color="auto"/>
        <w:right w:val="none" w:sz="0" w:space="0" w:color="auto"/>
      </w:divBdr>
    </w:div>
    <w:div w:id="274946892">
      <w:bodyDiv w:val="1"/>
      <w:marLeft w:val="0"/>
      <w:marRight w:val="0"/>
      <w:marTop w:val="0"/>
      <w:marBottom w:val="0"/>
      <w:divBdr>
        <w:top w:val="none" w:sz="0" w:space="0" w:color="auto"/>
        <w:left w:val="none" w:sz="0" w:space="0" w:color="auto"/>
        <w:bottom w:val="none" w:sz="0" w:space="0" w:color="auto"/>
        <w:right w:val="none" w:sz="0" w:space="0" w:color="auto"/>
      </w:divBdr>
    </w:div>
    <w:div w:id="280841714">
      <w:bodyDiv w:val="1"/>
      <w:marLeft w:val="0"/>
      <w:marRight w:val="0"/>
      <w:marTop w:val="0"/>
      <w:marBottom w:val="0"/>
      <w:divBdr>
        <w:top w:val="none" w:sz="0" w:space="0" w:color="auto"/>
        <w:left w:val="none" w:sz="0" w:space="0" w:color="auto"/>
        <w:bottom w:val="none" w:sz="0" w:space="0" w:color="auto"/>
        <w:right w:val="none" w:sz="0" w:space="0" w:color="auto"/>
      </w:divBdr>
    </w:div>
    <w:div w:id="294336308">
      <w:bodyDiv w:val="1"/>
      <w:marLeft w:val="0"/>
      <w:marRight w:val="0"/>
      <w:marTop w:val="0"/>
      <w:marBottom w:val="0"/>
      <w:divBdr>
        <w:top w:val="none" w:sz="0" w:space="0" w:color="auto"/>
        <w:left w:val="none" w:sz="0" w:space="0" w:color="auto"/>
        <w:bottom w:val="none" w:sz="0" w:space="0" w:color="auto"/>
        <w:right w:val="none" w:sz="0" w:space="0" w:color="auto"/>
      </w:divBdr>
    </w:div>
    <w:div w:id="296570783">
      <w:bodyDiv w:val="1"/>
      <w:marLeft w:val="0"/>
      <w:marRight w:val="0"/>
      <w:marTop w:val="0"/>
      <w:marBottom w:val="0"/>
      <w:divBdr>
        <w:top w:val="none" w:sz="0" w:space="0" w:color="auto"/>
        <w:left w:val="none" w:sz="0" w:space="0" w:color="auto"/>
        <w:bottom w:val="none" w:sz="0" w:space="0" w:color="auto"/>
        <w:right w:val="none" w:sz="0" w:space="0" w:color="auto"/>
      </w:divBdr>
    </w:div>
    <w:div w:id="309678128">
      <w:bodyDiv w:val="1"/>
      <w:marLeft w:val="0"/>
      <w:marRight w:val="0"/>
      <w:marTop w:val="0"/>
      <w:marBottom w:val="0"/>
      <w:divBdr>
        <w:top w:val="none" w:sz="0" w:space="0" w:color="auto"/>
        <w:left w:val="none" w:sz="0" w:space="0" w:color="auto"/>
        <w:bottom w:val="none" w:sz="0" w:space="0" w:color="auto"/>
        <w:right w:val="none" w:sz="0" w:space="0" w:color="auto"/>
      </w:divBdr>
    </w:div>
    <w:div w:id="317268828">
      <w:bodyDiv w:val="1"/>
      <w:marLeft w:val="0"/>
      <w:marRight w:val="0"/>
      <w:marTop w:val="0"/>
      <w:marBottom w:val="0"/>
      <w:divBdr>
        <w:top w:val="none" w:sz="0" w:space="0" w:color="auto"/>
        <w:left w:val="none" w:sz="0" w:space="0" w:color="auto"/>
        <w:bottom w:val="none" w:sz="0" w:space="0" w:color="auto"/>
        <w:right w:val="none" w:sz="0" w:space="0" w:color="auto"/>
      </w:divBdr>
    </w:div>
    <w:div w:id="323827691">
      <w:bodyDiv w:val="1"/>
      <w:marLeft w:val="0"/>
      <w:marRight w:val="0"/>
      <w:marTop w:val="0"/>
      <w:marBottom w:val="0"/>
      <w:divBdr>
        <w:top w:val="none" w:sz="0" w:space="0" w:color="auto"/>
        <w:left w:val="none" w:sz="0" w:space="0" w:color="auto"/>
        <w:bottom w:val="none" w:sz="0" w:space="0" w:color="auto"/>
        <w:right w:val="none" w:sz="0" w:space="0" w:color="auto"/>
      </w:divBdr>
    </w:div>
    <w:div w:id="334382051">
      <w:bodyDiv w:val="1"/>
      <w:marLeft w:val="0"/>
      <w:marRight w:val="0"/>
      <w:marTop w:val="0"/>
      <w:marBottom w:val="0"/>
      <w:divBdr>
        <w:top w:val="none" w:sz="0" w:space="0" w:color="auto"/>
        <w:left w:val="none" w:sz="0" w:space="0" w:color="auto"/>
        <w:bottom w:val="none" w:sz="0" w:space="0" w:color="auto"/>
        <w:right w:val="none" w:sz="0" w:space="0" w:color="auto"/>
      </w:divBdr>
    </w:div>
    <w:div w:id="374427101">
      <w:bodyDiv w:val="1"/>
      <w:marLeft w:val="0"/>
      <w:marRight w:val="0"/>
      <w:marTop w:val="0"/>
      <w:marBottom w:val="0"/>
      <w:divBdr>
        <w:top w:val="none" w:sz="0" w:space="0" w:color="auto"/>
        <w:left w:val="none" w:sz="0" w:space="0" w:color="auto"/>
        <w:bottom w:val="none" w:sz="0" w:space="0" w:color="auto"/>
        <w:right w:val="none" w:sz="0" w:space="0" w:color="auto"/>
      </w:divBdr>
    </w:div>
    <w:div w:id="388651758">
      <w:bodyDiv w:val="1"/>
      <w:marLeft w:val="0"/>
      <w:marRight w:val="0"/>
      <w:marTop w:val="0"/>
      <w:marBottom w:val="0"/>
      <w:divBdr>
        <w:top w:val="none" w:sz="0" w:space="0" w:color="auto"/>
        <w:left w:val="none" w:sz="0" w:space="0" w:color="auto"/>
        <w:bottom w:val="none" w:sz="0" w:space="0" w:color="auto"/>
        <w:right w:val="none" w:sz="0" w:space="0" w:color="auto"/>
      </w:divBdr>
    </w:div>
    <w:div w:id="402291410">
      <w:bodyDiv w:val="1"/>
      <w:marLeft w:val="0"/>
      <w:marRight w:val="0"/>
      <w:marTop w:val="0"/>
      <w:marBottom w:val="0"/>
      <w:divBdr>
        <w:top w:val="none" w:sz="0" w:space="0" w:color="auto"/>
        <w:left w:val="none" w:sz="0" w:space="0" w:color="auto"/>
        <w:bottom w:val="none" w:sz="0" w:space="0" w:color="auto"/>
        <w:right w:val="none" w:sz="0" w:space="0" w:color="auto"/>
      </w:divBdr>
    </w:div>
    <w:div w:id="457769031">
      <w:bodyDiv w:val="1"/>
      <w:marLeft w:val="0"/>
      <w:marRight w:val="0"/>
      <w:marTop w:val="0"/>
      <w:marBottom w:val="0"/>
      <w:divBdr>
        <w:top w:val="none" w:sz="0" w:space="0" w:color="auto"/>
        <w:left w:val="none" w:sz="0" w:space="0" w:color="auto"/>
        <w:bottom w:val="none" w:sz="0" w:space="0" w:color="auto"/>
        <w:right w:val="none" w:sz="0" w:space="0" w:color="auto"/>
      </w:divBdr>
    </w:div>
    <w:div w:id="463961394">
      <w:bodyDiv w:val="1"/>
      <w:marLeft w:val="0"/>
      <w:marRight w:val="0"/>
      <w:marTop w:val="0"/>
      <w:marBottom w:val="0"/>
      <w:divBdr>
        <w:top w:val="none" w:sz="0" w:space="0" w:color="auto"/>
        <w:left w:val="none" w:sz="0" w:space="0" w:color="auto"/>
        <w:bottom w:val="none" w:sz="0" w:space="0" w:color="auto"/>
        <w:right w:val="none" w:sz="0" w:space="0" w:color="auto"/>
      </w:divBdr>
    </w:div>
    <w:div w:id="465122321">
      <w:bodyDiv w:val="1"/>
      <w:marLeft w:val="0"/>
      <w:marRight w:val="0"/>
      <w:marTop w:val="0"/>
      <w:marBottom w:val="0"/>
      <w:divBdr>
        <w:top w:val="none" w:sz="0" w:space="0" w:color="auto"/>
        <w:left w:val="none" w:sz="0" w:space="0" w:color="auto"/>
        <w:bottom w:val="none" w:sz="0" w:space="0" w:color="auto"/>
        <w:right w:val="none" w:sz="0" w:space="0" w:color="auto"/>
      </w:divBdr>
    </w:div>
    <w:div w:id="471211120">
      <w:bodyDiv w:val="1"/>
      <w:marLeft w:val="0"/>
      <w:marRight w:val="0"/>
      <w:marTop w:val="0"/>
      <w:marBottom w:val="0"/>
      <w:divBdr>
        <w:top w:val="none" w:sz="0" w:space="0" w:color="auto"/>
        <w:left w:val="none" w:sz="0" w:space="0" w:color="auto"/>
        <w:bottom w:val="none" w:sz="0" w:space="0" w:color="auto"/>
        <w:right w:val="none" w:sz="0" w:space="0" w:color="auto"/>
      </w:divBdr>
    </w:div>
    <w:div w:id="487526717">
      <w:bodyDiv w:val="1"/>
      <w:marLeft w:val="0"/>
      <w:marRight w:val="0"/>
      <w:marTop w:val="0"/>
      <w:marBottom w:val="0"/>
      <w:divBdr>
        <w:top w:val="none" w:sz="0" w:space="0" w:color="auto"/>
        <w:left w:val="none" w:sz="0" w:space="0" w:color="auto"/>
        <w:bottom w:val="none" w:sz="0" w:space="0" w:color="auto"/>
        <w:right w:val="none" w:sz="0" w:space="0" w:color="auto"/>
      </w:divBdr>
    </w:div>
    <w:div w:id="488862948">
      <w:bodyDiv w:val="1"/>
      <w:marLeft w:val="0"/>
      <w:marRight w:val="0"/>
      <w:marTop w:val="0"/>
      <w:marBottom w:val="0"/>
      <w:divBdr>
        <w:top w:val="none" w:sz="0" w:space="0" w:color="auto"/>
        <w:left w:val="none" w:sz="0" w:space="0" w:color="auto"/>
        <w:bottom w:val="none" w:sz="0" w:space="0" w:color="auto"/>
        <w:right w:val="none" w:sz="0" w:space="0" w:color="auto"/>
      </w:divBdr>
    </w:div>
    <w:div w:id="492334321">
      <w:bodyDiv w:val="1"/>
      <w:marLeft w:val="0"/>
      <w:marRight w:val="0"/>
      <w:marTop w:val="0"/>
      <w:marBottom w:val="0"/>
      <w:divBdr>
        <w:top w:val="none" w:sz="0" w:space="0" w:color="auto"/>
        <w:left w:val="none" w:sz="0" w:space="0" w:color="auto"/>
        <w:bottom w:val="none" w:sz="0" w:space="0" w:color="auto"/>
        <w:right w:val="none" w:sz="0" w:space="0" w:color="auto"/>
      </w:divBdr>
    </w:div>
    <w:div w:id="501167740">
      <w:bodyDiv w:val="1"/>
      <w:marLeft w:val="0"/>
      <w:marRight w:val="0"/>
      <w:marTop w:val="0"/>
      <w:marBottom w:val="0"/>
      <w:divBdr>
        <w:top w:val="none" w:sz="0" w:space="0" w:color="auto"/>
        <w:left w:val="none" w:sz="0" w:space="0" w:color="auto"/>
        <w:bottom w:val="none" w:sz="0" w:space="0" w:color="auto"/>
        <w:right w:val="none" w:sz="0" w:space="0" w:color="auto"/>
      </w:divBdr>
    </w:div>
    <w:div w:id="508716032">
      <w:bodyDiv w:val="1"/>
      <w:marLeft w:val="0"/>
      <w:marRight w:val="0"/>
      <w:marTop w:val="0"/>
      <w:marBottom w:val="0"/>
      <w:divBdr>
        <w:top w:val="none" w:sz="0" w:space="0" w:color="auto"/>
        <w:left w:val="none" w:sz="0" w:space="0" w:color="auto"/>
        <w:bottom w:val="none" w:sz="0" w:space="0" w:color="auto"/>
        <w:right w:val="none" w:sz="0" w:space="0" w:color="auto"/>
      </w:divBdr>
    </w:div>
    <w:div w:id="508952930">
      <w:bodyDiv w:val="1"/>
      <w:marLeft w:val="0"/>
      <w:marRight w:val="0"/>
      <w:marTop w:val="0"/>
      <w:marBottom w:val="0"/>
      <w:divBdr>
        <w:top w:val="none" w:sz="0" w:space="0" w:color="auto"/>
        <w:left w:val="none" w:sz="0" w:space="0" w:color="auto"/>
        <w:bottom w:val="none" w:sz="0" w:space="0" w:color="auto"/>
        <w:right w:val="none" w:sz="0" w:space="0" w:color="auto"/>
      </w:divBdr>
    </w:div>
    <w:div w:id="509103777">
      <w:bodyDiv w:val="1"/>
      <w:marLeft w:val="0"/>
      <w:marRight w:val="0"/>
      <w:marTop w:val="0"/>
      <w:marBottom w:val="0"/>
      <w:divBdr>
        <w:top w:val="none" w:sz="0" w:space="0" w:color="auto"/>
        <w:left w:val="none" w:sz="0" w:space="0" w:color="auto"/>
        <w:bottom w:val="none" w:sz="0" w:space="0" w:color="auto"/>
        <w:right w:val="none" w:sz="0" w:space="0" w:color="auto"/>
      </w:divBdr>
    </w:div>
    <w:div w:id="516432249">
      <w:bodyDiv w:val="1"/>
      <w:marLeft w:val="0"/>
      <w:marRight w:val="0"/>
      <w:marTop w:val="0"/>
      <w:marBottom w:val="0"/>
      <w:divBdr>
        <w:top w:val="none" w:sz="0" w:space="0" w:color="auto"/>
        <w:left w:val="none" w:sz="0" w:space="0" w:color="auto"/>
        <w:bottom w:val="none" w:sz="0" w:space="0" w:color="auto"/>
        <w:right w:val="none" w:sz="0" w:space="0" w:color="auto"/>
      </w:divBdr>
    </w:div>
    <w:div w:id="521938841">
      <w:bodyDiv w:val="1"/>
      <w:marLeft w:val="0"/>
      <w:marRight w:val="0"/>
      <w:marTop w:val="0"/>
      <w:marBottom w:val="0"/>
      <w:divBdr>
        <w:top w:val="none" w:sz="0" w:space="0" w:color="auto"/>
        <w:left w:val="none" w:sz="0" w:space="0" w:color="auto"/>
        <w:bottom w:val="none" w:sz="0" w:space="0" w:color="auto"/>
        <w:right w:val="none" w:sz="0" w:space="0" w:color="auto"/>
      </w:divBdr>
    </w:div>
    <w:div w:id="531652533">
      <w:bodyDiv w:val="1"/>
      <w:marLeft w:val="0"/>
      <w:marRight w:val="0"/>
      <w:marTop w:val="0"/>
      <w:marBottom w:val="0"/>
      <w:divBdr>
        <w:top w:val="none" w:sz="0" w:space="0" w:color="auto"/>
        <w:left w:val="none" w:sz="0" w:space="0" w:color="auto"/>
        <w:bottom w:val="none" w:sz="0" w:space="0" w:color="auto"/>
        <w:right w:val="none" w:sz="0" w:space="0" w:color="auto"/>
      </w:divBdr>
    </w:div>
    <w:div w:id="546533086">
      <w:bodyDiv w:val="1"/>
      <w:marLeft w:val="0"/>
      <w:marRight w:val="0"/>
      <w:marTop w:val="0"/>
      <w:marBottom w:val="0"/>
      <w:divBdr>
        <w:top w:val="none" w:sz="0" w:space="0" w:color="auto"/>
        <w:left w:val="none" w:sz="0" w:space="0" w:color="auto"/>
        <w:bottom w:val="none" w:sz="0" w:space="0" w:color="auto"/>
        <w:right w:val="none" w:sz="0" w:space="0" w:color="auto"/>
      </w:divBdr>
    </w:div>
    <w:div w:id="564267241">
      <w:bodyDiv w:val="1"/>
      <w:marLeft w:val="0"/>
      <w:marRight w:val="0"/>
      <w:marTop w:val="0"/>
      <w:marBottom w:val="0"/>
      <w:divBdr>
        <w:top w:val="none" w:sz="0" w:space="0" w:color="auto"/>
        <w:left w:val="none" w:sz="0" w:space="0" w:color="auto"/>
        <w:bottom w:val="none" w:sz="0" w:space="0" w:color="auto"/>
        <w:right w:val="none" w:sz="0" w:space="0" w:color="auto"/>
      </w:divBdr>
    </w:div>
    <w:div w:id="571744257">
      <w:bodyDiv w:val="1"/>
      <w:marLeft w:val="0"/>
      <w:marRight w:val="0"/>
      <w:marTop w:val="0"/>
      <w:marBottom w:val="0"/>
      <w:divBdr>
        <w:top w:val="none" w:sz="0" w:space="0" w:color="auto"/>
        <w:left w:val="none" w:sz="0" w:space="0" w:color="auto"/>
        <w:bottom w:val="none" w:sz="0" w:space="0" w:color="auto"/>
        <w:right w:val="none" w:sz="0" w:space="0" w:color="auto"/>
      </w:divBdr>
    </w:div>
    <w:div w:id="572131337">
      <w:bodyDiv w:val="1"/>
      <w:marLeft w:val="0"/>
      <w:marRight w:val="0"/>
      <w:marTop w:val="0"/>
      <w:marBottom w:val="0"/>
      <w:divBdr>
        <w:top w:val="none" w:sz="0" w:space="0" w:color="auto"/>
        <w:left w:val="none" w:sz="0" w:space="0" w:color="auto"/>
        <w:bottom w:val="none" w:sz="0" w:space="0" w:color="auto"/>
        <w:right w:val="none" w:sz="0" w:space="0" w:color="auto"/>
      </w:divBdr>
    </w:div>
    <w:div w:id="582955314">
      <w:bodyDiv w:val="1"/>
      <w:marLeft w:val="0"/>
      <w:marRight w:val="0"/>
      <w:marTop w:val="0"/>
      <w:marBottom w:val="0"/>
      <w:divBdr>
        <w:top w:val="none" w:sz="0" w:space="0" w:color="auto"/>
        <w:left w:val="none" w:sz="0" w:space="0" w:color="auto"/>
        <w:bottom w:val="none" w:sz="0" w:space="0" w:color="auto"/>
        <w:right w:val="none" w:sz="0" w:space="0" w:color="auto"/>
      </w:divBdr>
    </w:div>
    <w:div w:id="593634482">
      <w:bodyDiv w:val="1"/>
      <w:marLeft w:val="0"/>
      <w:marRight w:val="0"/>
      <w:marTop w:val="0"/>
      <w:marBottom w:val="0"/>
      <w:divBdr>
        <w:top w:val="none" w:sz="0" w:space="0" w:color="auto"/>
        <w:left w:val="none" w:sz="0" w:space="0" w:color="auto"/>
        <w:bottom w:val="none" w:sz="0" w:space="0" w:color="auto"/>
        <w:right w:val="none" w:sz="0" w:space="0" w:color="auto"/>
      </w:divBdr>
    </w:div>
    <w:div w:id="601688262">
      <w:bodyDiv w:val="1"/>
      <w:marLeft w:val="0"/>
      <w:marRight w:val="0"/>
      <w:marTop w:val="0"/>
      <w:marBottom w:val="0"/>
      <w:divBdr>
        <w:top w:val="none" w:sz="0" w:space="0" w:color="auto"/>
        <w:left w:val="none" w:sz="0" w:space="0" w:color="auto"/>
        <w:bottom w:val="none" w:sz="0" w:space="0" w:color="auto"/>
        <w:right w:val="none" w:sz="0" w:space="0" w:color="auto"/>
      </w:divBdr>
    </w:div>
    <w:div w:id="609052321">
      <w:bodyDiv w:val="1"/>
      <w:marLeft w:val="0"/>
      <w:marRight w:val="0"/>
      <w:marTop w:val="0"/>
      <w:marBottom w:val="0"/>
      <w:divBdr>
        <w:top w:val="none" w:sz="0" w:space="0" w:color="auto"/>
        <w:left w:val="none" w:sz="0" w:space="0" w:color="auto"/>
        <w:bottom w:val="none" w:sz="0" w:space="0" w:color="auto"/>
        <w:right w:val="none" w:sz="0" w:space="0" w:color="auto"/>
      </w:divBdr>
    </w:div>
    <w:div w:id="609433269">
      <w:bodyDiv w:val="1"/>
      <w:marLeft w:val="0"/>
      <w:marRight w:val="0"/>
      <w:marTop w:val="0"/>
      <w:marBottom w:val="0"/>
      <w:divBdr>
        <w:top w:val="none" w:sz="0" w:space="0" w:color="auto"/>
        <w:left w:val="none" w:sz="0" w:space="0" w:color="auto"/>
        <w:bottom w:val="none" w:sz="0" w:space="0" w:color="auto"/>
        <w:right w:val="none" w:sz="0" w:space="0" w:color="auto"/>
      </w:divBdr>
    </w:div>
    <w:div w:id="620764674">
      <w:bodyDiv w:val="1"/>
      <w:marLeft w:val="0"/>
      <w:marRight w:val="0"/>
      <w:marTop w:val="0"/>
      <w:marBottom w:val="0"/>
      <w:divBdr>
        <w:top w:val="none" w:sz="0" w:space="0" w:color="auto"/>
        <w:left w:val="none" w:sz="0" w:space="0" w:color="auto"/>
        <w:bottom w:val="none" w:sz="0" w:space="0" w:color="auto"/>
        <w:right w:val="none" w:sz="0" w:space="0" w:color="auto"/>
      </w:divBdr>
    </w:div>
    <w:div w:id="621956038">
      <w:bodyDiv w:val="1"/>
      <w:marLeft w:val="0"/>
      <w:marRight w:val="0"/>
      <w:marTop w:val="0"/>
      <w:marBottom w:val="0"/>
      <w:divBdr>
        <w:top w:val="none" w:sz="0" w:space="0" w:color="auto"/>
        <w:left w:val="none" w:sz="0" w:space="0" w:color="auto"/>
        <w:bottom w:val="none" w:sz="0" w:space="0" w:color="auto"/>
        <w:right w:val="none" w:sz="0" w:space="0" w:color="auto"/>
      </w:divBdr>
    </w:div>
    <w:div w:id="628434725">
      <w:bodyDiv w:val="1"/>
      <w:marLeft w:val="0"/>
      <w:marRight w:val="0"/>
      <w:marTop w:val="0"/>
      <w:marBottom w:val="0"/>
      <w:divBdr>
        <w:top w:val="none" w:sz="0" w:space="0" w:color="auto"/>
        <w:left w:val="none" w:sz="0" w:space="0" w:color="auto"/>
        <w:bottom w:val="none" w:sz="0" w:space="0" w:color="auto"/>
        <w:right w:val="none" w:sz="0" w:space="0" w:color="auto"/>
      </w:divBdr>
    </w:div>
    <w:div w:id="642853933">
      <w:bodyDiv w:val="1"/>
      <w:marLeft w:val="0"/>
      <w:marRight w:val="0"/>
      <w:marTop w:val="0"/>
      <w:marBottom w:val="0"/>
      <w:divBdr>
        <w:top w:val="none" w:sz="0" w:space="0" w:color="auto"/>
        <w:left w:val="none" w:sz="0" w:space="0" w:color="auto"/>
        <w:bottom w:val="none" w:sz="0" w:space="0" w:color="auto"/>
        <w:right w:val="none" w:sz="0" w:space="0" w:color="auto"/>
      </w:divBdr>
    </w:div>
    <w:div w:id="643705288">
      <w:bodyDiv w:val="1"/>
      <w:marLeft w:val="0"/>
      <w:marRight w:val="0"/>
      <w:marTop w:val="0"/>
      <w:marBottom w:val="0"/>
      <w:divBdr>
        <w:top w:val="none" w:sz="0" w:space="0" w:color="auto"/>
        <w:left w:val="none" w:sz="0" w:space="0" w:color="auto"/>
        <w:bottom w:val="none" w:sz="0" w:space="0" w:color="auto"/>
        <w:right w:val="none" w:sz="0" w:space="0" w:color="auto"/>
      </w:divBdr>
    </w:div>
    <w:div w:id="646740101">
      <w:bodyDiv w:val="1"/>
      <w:marLeft w:val="0"/>
      <w:marRight w:val="0"/>
      <w:marTop w:val="0"/>
      <w:marBottom w:val="0"/>
      <w:divBdr>
        <w:top w:val="none" w:sz="0" w:space="0" w:color="auto"/>
        <w:left w:val="none" w:sz="0" w:space="0" w:color="auto"/>
        <w:bottom w:val="none" w:sz="0" w:space="0" w:color="auto"/>
        <w:right w:val="none" w:sz="0" w:space="0" w:color="auto"/>
      </w:divBdr>
    </w:div>
    <w:div w:id="648439652">
      <w:bodyDiv w:val="1"/>
      <w:marLeft w:val="0"/>
      <w:marRight w:val="0"/>
      <w:marTop w:val="0"/>
      <w:marBottom w:val="0"/>
      <w:divBdr>
        <w:top w:val="none" w:sz="0" w:space="0" w:color="auto"/>
        <w:left w:val="none" w:sz="0" w:space="0" w:color="auto"/>
        <w:bottom w:val="none" w:sz="0" w:space="0" w:color="auto"/>
        <w:right w:val="none" w:sz="0" w:space="0" w:color="auto"/>
      </w:divBdr>
    </w:div>
    <w:div w:id="655649603">
      <w:bodyDiv w:val="1"/>
      <w:marLeft w:val="0"/>
      <w:marRight w:val="0"/>
      <w:marTop w:val="0"/>
      <w:marBottom w:val="0"/>
      <w:divBdr>
        <w:top w:val="none" w:sz="0" w:space="0" w:color="auto"/>
        <w:left w:val="none" w:sz="0" w:space="0" w:color="auto"/>
        <w:bottom w:val="none" w:sz="0" w:space="0" w:color="auto"/>
        <w:right w:val="none" w:sz="0" w:space="0" w:color="auto"/>
      </w:divBdr>
    </w:div>
    <w:div w:id="677391651">
      <w:bodyDiv w:val="1"/>
      <w:marLeft w:val="0"/>
      <w:marRight w:val="0"/>
      <w:marTop w:val="0"/>
      <w:marBottom w:val="0"/>
      <w:divBdr>
        <w:top w:val="none" w:sz="0" w:space="0" w:color="auto"/>
        <w:left w:val="none" w:sz="0" w:space="0" w:color="auto"/>
        <w:bottom w:val="none" w:sz="0" w:space="0" w:color="auto"/>
        <w:right w:val="none" w:sz="0" w:space="0" w:color="auto"/>
      </w:divBdr>
    </w:div>
    <w:div w:id="688065484">
      <w:bodyDiv w:val="1"/>
      <w:marLeft w:val="0"/>
      <w:marRight w:val="0"/>
      <w:marTop w:val="0"/>
      <w:marBottom w:val="0"/>
      <w:divBdr>
        <w:top w:val="none" w:sz="0" w:space="0" w:color="auto"/>
        <w:left w:val="none" w:sz="0" w:space="0" w:color="auto"/>
        <w:bottom w:val="none" w:sz="0" w:space="0" w:color="auto"/>
        <w:right w:val="none" w:sz="0" w:space="0" w:color="auto"/>
      </w:divBdr>
    </w:div>
    <w:div w:id="694384694">
      <w:bodyDiv w:val="1"/>
      <w:marLeft w:val="0"/>
      <w:marRight w:val="0"/>
      <w:marTop w:val="0"/>
      <w:marBottom w:val="0"/>
      <w:divBdr>
        <w:top w:val="none" w:sz="0" w:space="0" w:color="auto"/>
        <w:left w:val="none" w:sz="0" w:space="0" w:color="auto"/>
        <w:bottom w:val="none" w:sz="0" w:space="0" w:color="auto"/>
        <w:right w:val="none" w:sz="0" w:space="0" w:color="auto"/>
      </w:divBdr>
    </w:div>
    <w:div w:id="698815808">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717709135">
      <w:bodyDiv w:val="1"/>
      <w:marLeft w:val="0"/>
      <w:marRight w:val="0"/>
      <w:marTop w:val="0"/>
      <w:marBottom w:val="0"/>
      <w:divBdr>
        <w:top w:val="none" w:sz="0" w:space="0" w:color="auto"/>
        <w:left w:val="none" w:sz="0" w:space="0" w:color="auto"/>
        <w:bottom w:val="none" w:sz="0" w:space="0" w:color="auto"/>
        <w:right w:val="none" w:sz="0" w:space="0" w:color="auto"/>
      </w:divBdr>
    </w:div>
    <w:div w:id="738527084">
      <w:bodyDiv w:val="1"/>
      <w:marLeft w:val="0"/>
      <w:marRight w:val="0"/>
      <w:marTop w:val="0"/>
      <w:marBottom w:val="0"/>
      <w:divBdr>
        <w:top w:val="none" w:sz="0" w:space="0" w:color="auto"/>
        <w:left w:val="none" w:sz="0" w:space="0" w:color="auto"/>
        <w:bottom w:val="none" w:sz="0" w:space="0" w:color="auto"/>
        <w:right w:val="none" w:sz="0" w:space="0" w:color="auto"/>
      </w:divBdr>
    </w:div>
    <w:div w:id="752355446">
      <w:bodyDiv w:val="1"/>
      <w:marLeft w:val="0"/>
      <w:marRight w:val="0"/>
      <w:marTop w:val="0"/>
      <w:marBottom w:val="0"/>
      <w:divBdr>
        <w:top w:val="none" w:sz="0" w:space="0" w:color="auto"/>
        <w:left w:val="none" w:sz="0" w:space="0" w:color="auto"/>
        <w:bottom w:val="none" w:sz="0" w:space="0" w:color="auto"/>
        <w:right w:val="none" w:sz="0" w:space="0" w:color="auto"/>
      </w:divBdr>
    </w:div>
    <w:div w:id="757874074">
      <w:bodyDiv w:val="1"/>
      <w:marLeft w:val="0"/>
      <w:marRight w:val="0"/>
      <w:marTop w:val="0"/>
      <w:marBottom w:val="0"/>
      <w:divBdr>
        <w:top w:val="none" w:sz="0" w:space="0" w:color="auto"/>
        <w:left w:val="none" w:sz="0" w:space="0" w:color="auto"/>
        <w:bottom w:val="none" w:sz="0" w:space="0" w:color="auto"/>
        <w:right w:val="none" w:sz="0" w:space="0" w:color="auto"/>
      </w:divBdr>
    </w:div>
    <w:div w:id="760566403">
      <w:bodyDiv w:val="1"/>
      <w:marLeft w:val="0"/>
      <w:marRight w:val="0"/>
      <w:marTop w:val="0"/>
      <w:marBottom w:val="0"/>
      <w:divBdr>
        <w:top w:val="none" w:sz="0" w:space="0" w:color="auto"/>
        <w:left w:val="none" w:sz="0" w:space="0" w:color="auto"/>
        <w:bottom w:val="none" w:sz="0" w:space="0" w:color="auto"/>
        <w:right w:val="none" w:sz="0" w:space="0" w:color="auto"/>
      </w:divBdr>
    </w:div>
    <w:div w:id="768698046">
      <w:bodyDiv w:val="1"/>
      <w:marLeft w:val="0"/>
      <w:marRight w:val="0"/>
      <w:marTop w:val="0"/>
      <w:marBottom w:val="0"/>
      <w:divBdr>
        <w:top w:val="none" w:sz="0" w:space="0" w:color="auto"/>
        <w:left w:val="none" w:sz="0" w:space="0" w:color="auto"/>
        <w:bottom w:val="none" w:sz="0" w:space="0" w:color="auto"/>
        <w:right w:val="none" w:sz="0" w:space="0" w:color="auto"/>
      </w:divBdr>
    </w:div>
    <w:div w:id="778647540">
      <w:bodyDiv w:val="1"/>
      <w:marLeft w:val="0"/>
      <w:marRight w:val="0"/>
      <w:marTop w:val="0"/>
      <w:marBottom w:val="0"/>
      <w:divBdr>
        <w:top w:val="none" w:sz="0" w:space="0" w:color="auto"/>
        <w:left w:val="none" w:sz="0" w:space="0" w:color="auto"/>
        <w:bottom w:val="none" w:sz="0" w:space="0" w:color="auto"/>
        <w:right w:val="none" w:sz="0" w:space="0" w:color="auto"/>
      </w:divBdr>
    </w:div>
    <w:div w:id="795442928">
      <w:bodyDiv w:val="1"/>
      <w:marLeft w:val="0"/>
      <w:marRight w:val="0"/>
      <w:marTop w:val="0"/>
      <w:marBottom w:val="0"/>
      <w:divBdr>
        <w:top w:val="none" w:sz="0" w:space="0" w:color="auto"/>
        <w:left w:val="none" w:sz="0" w:space="0" w:color="auto"/>
        <w:bottom w:val="none" w:sz="0" w:space="0" w:color="auto"/>
        <w:right w:val="none" w:sz="0" w:space="0" w:color="auto"/>
      </w:divBdr>
    </w:div>
    <w:div w:id="802387208">
      <w:bodyDiv w:val="1"/>
      <w:marLeft w:val="0"/>
      <w:marRight w:val="0"/>
      <w:marTop w:val="0"/>
      <w:marBottom w:val="0"/>
      <w:divBdr>
        <w:top w:val="none" w:sz="0" w:space="0" w:color="auto"/>
        <w:left w:val="none" w:sz="0" w:space="0" w:color="auto"/>
        <w:bottom w:val="none" w:sz="0" w:space="0" w:color="auto"/>
        <w:right w:val="none" w:sz="0" w:space="0" w:color="auto"/>
      </w:divBdr>
    </w:div>
    <w:div w:id="808595426">
      <w:bodyDiv w:val="1"/>
      <w:marLeft w:val="0"/>
      <w:marRight w:val="0"/>
      <w:marTop w:val="0"/>
      <w:marBottom w:val="0"/>
      <w:divBdr>
        <w:top w:val="none" w:sz="0" w:space="0" w:color="auto"/>
        <w:left w:val="none" w:sz="0" w:space="0" w:color="auto"/>
        <w:bottom w:val="none" w:sz="0" w:space="0" w:color="auto"/>
        <w:right w:val="none" w:sz="0" w:space="0" w:color="auto"/>
      </w:divBdr>
    </w:div>
    <w:div w:id="840782259">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9108">
      <w:bodyDiv w:val="1"/>
      <w:marLeft w:val="0"/>
      <w:marRight w:val="0"/>
      <w:marTop w:val="0"/>
      <w:marBottom w:val="0"/>
      <w:divBdr>
        <w:top w:val="none" w:sz="0" w:space="0" w:color="auto"/>
        <w:left w:val="none" w:sz="0" w:space="0" w:color="auto"/>
        <w:bottom w:val="none" w:sz="0" w:space="0" w:color="auto"/>
        <w:right w:val="none" w:sz="0" w:space="0" w:color="auto"/>
      </w:divBdr>
    </w:div>
    <w:div w:id="915095873">
      <w:bodyDiv w:val="1"/>
      <w:marLeft w:val="0"/>
      <w:marRight w:val="0"/>
      <w:marTop w:val="0"/>
      <w:marBottom w:val="0"/>
      <w:divBdr>
        <w:top w:val="none" w:sz="0" w:space="0" w:color="auto"/>
        <w:left w:val="none" w:sz="0" w:space="0" w:color="auto"/>
        <w:bottom w:val="none" w:sz="0" w:space="0" w:color="auto"/>
        <w:right w:val="none" w:sz="0" w:space="0" w:color="auto"/>
      </w:divBdr>
    </w:div>
    <w:div w:id="915212246">
      <w:bodyDiv w:val="1"/>
      <w:marLeft w:val="0"/>
      <w:marRight w:val="0"/>
      <w:marTop w:val="0"/>
      <w:marBottom w:val="0"/>
      <w:divBdr>
        <w:top w:val="none" w:sz="0" w:space="0" w:color="auto"/>
        <w:left w:val="none" w:sz="0" w:space="0" w:color="auto"/>
        <w:bottom w:val="none" w:sz="0" w:space="0" w:color="auto"/>
        <w:right w:val="none" w:sz="0" w:space="0" w:color="auto"/>
      </w:divBdr>
    </w:div>
    <w:div w:id="931015218">
      <w:bodyDiv w:val="1"/>
      <w:marLeft w:val="0"/>
      <w:marRight w:val="0"/>
      <w:marTop w:val="0"/>
      <w:marBottom w:val="0"/>
      <w:divBdr>
        <w:top w:val="none" w:sz="0" w:space="0" w:color="auto"/>
        <w:left w:val="none" w:sz="0" w:space="0" w:color="auto"/>
        <w:bottom w:val="none" w:sz="0" w:space="0" w:color="auto"/>
        <w:right w:val="none" w:sz="0" w:space="0" w:color="auto"/>
      </w:divBdr>
    </w:div>
    <w:div w:id="950627099">
      <w:bodyDiv w:val="1"/>
      <w:marLeft w:val="0"/>
      <w:marRight w:val="0"/>
      <w:marTop w:val="0"/>
      <w:marBottom w:val="0"/>
      <w:divBdr>
        <w:top w:val="none" w:sz="0" w:space="0" w:color="auto"/>
        <w:left w:val="none" w:sz="0" w:space="0" w:color="auto"/>
        <w:bottom w:val="none" w:sz="0" w:space="0" w:color="auto"/>
        <w:right w:val="none" w:sz="0" w:space="0" w:color="auto"/>
      </w:divBdr>
    </w:div>
    <w:div w:id="986319055">
      <w:bodyDiv w:val="1"/>
      <w:marLeft w:val="0"/>
      <w:marRight w:val="0"/>
      <w:marTop w:val="0"/>
      <w:marBottom w:val="0"/>
      <w:divBdr>
        <w:top w:val="none" w:sz="0" w:space="0" w:color="auto"/>
        <w:left w:val="none" w:sz="0" w:space="0" w:color="auto"/>
        <w:bottom w:val="none" w:sz="0" w:space="0" w:color="auto"/>
        <w:right w:val="none" w:sz="0" w:space="0" w:color="auto"/>
      </w:divBdr>
    </w:div>
    <w:div w:id="996349963">
      <w:bodyDiv w:val="1"/>
      <w:marLeft w:val="0"/>
      <w:marRight w:val="0"/>
      <w:marTop w:val="0"/>
      <w:marBottom w:val="0"/>
      <w:divBdr>
        <w:top w:val="none" w:sz="0" w:space="0" w:color="auto"/>
        <w:left w:val="none" w:sz="0" w:space="0" w:color="auto"/>
        <w:bottom w:val="none" w:sz="0" w:space="0" w:color="auto"/>
        <w:right w:val="none" w:sz="0" w:space="0" w:color="auto"/>
      </w:divBdr>
    </w:div>
    <w:div w:id="1006522331">
      <w:bodyDiv w:val="1"/>
      <w:marLeft w:val="0"/>
      <w:marRight w:val="0"/>
      <w:marTop w:val="0"/>
      <w:marBottom w:val="0"/>
      <w:divBdr>
        <w:top w:val="none" w:sz="0" w:space="0" w:color="auto"/>
        <w:left w:val="none" w:sz="0" w:space="0" w:color="auto"/>
        <w:bottom w:val="none" w:sz="0" w:space="0" w:color="auto"/>
        <w:right w:val="none" w:sz="0" w:space="0" w:color="auto"/>
      </w:divBdr>
    </w:div>
    <w:div w:id="1012994169">
      <w:bodyDiv w:val="1"/>
      <w:marLeft w:val="0"/>
      <w:marRight w:val="0"/>
      <w:marTop w:val="0"/>
      <w:marBottom w:val="0"/>
      <w:divBdr>
        <w:top w:val="none" w:sz="0" w:space="0" w:color="auto"/>
        <w:left w:val="none" w:sz="0" w:space="0" w:color="auto"/>
        <w:bottom w:val="none" w:sz="0" w:space="0" w:color="auto"/>
        <w:right w:val="none" w:sz="0" w:space="0" w:color="auto"/>
      </w:divBdr>
    </w:div>
    <w:div w:id="1016344268">
      <w:bodyDiv w:val="1"/>
      <w:marLeft w:val="0"/>
      <w:marRight w:val="0"/>
      <w:marTop w:val="0"/>
      <w:marBottom w:val="0"/>
      <w:divBdr>
        <w:top w:val="none" w:sz="0" w:space="0" w:color="auto"/>
        <w:left w:val="none" w:sz="0" w:space="0" w:color="auto"/>
        <w:bottom w:val="none" w:sz="0" w:space="0" w:color="auto"/>
        <w:right w:val="none" w:sz="0" w:space="0" w:color="auto"/>
      </w:divBdr>
    </w:div>
    <w:div w:id="1032994288">
      <w:bodyDiv w:val="1"/>
      <w:marLeft w:val="0"/>
      <w:marRight w:val="0"/>
      <w:marTop w:val="0"/>
      <w:marBottom w:val="0"/>
      <w:divBdr>
        <w:top w:val="none" w:sz="0" w:space="0" w:color="auto"/>
        <w:left w:val="none" w:sz="0" w:space="0" w:color="auto"/>
        <w:bottom w:val="none" w:sz="0" w:space="0" w:color="auto"/>
        <w:right w:val="none" w:sz="0" w:space="0" w:color="auto"/>
      </w:divBdr>
    </w:div>
    <w:div w:id="1043864733">
      <w:bodyDiv w:val="1"/>
      <w:marLeft w:val="0"/>
      <w:marRight w:val="0"/>
      <w:marTop w:val="0"/>
      <w:marBottom w:val="0"/>
      <w:divBdr>
        <w:top w:val="none" w:sz="0" w:space="0" w:color="auto"/>
        <w:left w:val="none" w:sz="0" w:space="0" w:color="auto"/>
        <w:bottom w:val="none" w:sz="0" w:space="0" w:color="auto"/>
        <w:right w:val="none" w:sz="0" w:space="0" w:color="auto"/>
      </w:divBdr>
    </w:div>
    <w:div w:id="1050298413">
      <w:bodyDiv w:val="1"/>
      <w:marLeft w:val="0"/>
      <w:marRight w:val="0"/>
      <w:marTop w:val="0"/>
      <w:marBottom w:val="0"/>
      <w:divBdr>
        <w:top w:val="none" w:sz="0" w:space="0" w:color="auto"/>
        <w:left w:val="none" w:sz="0" w:space="0" w:color="auto"/>
        <w:bottom w:val="none" w:sz="0" w:space="0" w:color="auto"/>
        <w:right w:val="none" w:sz="0" w:space="0" w:color="auto"/>
      </w:divBdr>
    </w:div>
    <w:div w:id="1078094488">
      <w:bodyDiv w:val="1"/>
      <w:marLeft w:val="0"/>
      <w:marRight w:val="0"/>
      <w:marTop w:val="0"/>
      <w:marBottom w:val="0"/>
      <w:divBdr>
        <w:top w:val="none" w:sz="0" w:space="0" w:color="auto"/>
        <w:left w:val="none" w:sz="0" w:space="0" w:color="auto"/>
        <w:bottom w:val="none" w:sz="0" w:space="0" w:color="auto"/>
        <w:right w:val="none" w:sz="0" w:space="0" w:color="auto"/>
      </w:divBdr>
    </w:div>
    <w:div w:id="1087340147">
      <w:bodyDiv w:val="1"/>
      <w:marLeft w:val="0"/>
      <w:marRight w:val="0"/>
      <w:marTop w:val="0"/>
      <w:marBottom w:val="0"/>
      <w:divBdr>
        <w:top w:val="none" w:sz="0" w:space="0" w:color="auto"/>
        <w:left w:val="none" w:sz="0" w:space="0" w:color="auto"/>
        <w:bottom w:val="none" w:sz="0" w:space="0" w:color="auto"/>
        <w:right w:val="none" w:sz="0" w:space="0" w:color="auto"/>
      </w:divBdr>
    </w:div>
    <w:div w:id="1129513342">
      <w:bodyDiv w:val="1"/>
      <w:marLeft w:val="0"/>
      <w:marRight w:val="0"/>
      <w:marTop w:val="0"/>
      <w:marBottom w:val="0"/>
      <w:divBdr>
        <w:top w:val="none" w:sz="0" w:space="0" w:color="auto"/>
        <w:left w:val="none" w:sz="0" w:space="0" w:color="auto"/>
        <w:bottom w:val="none" w:sz="0" w:space="0" w:color="auto"/>
        <w:right w:val="none" w:sz="0" w:space="0" w:color="auto"/>
      </w:divBdr>
    </w:div>
    <w:div w:id="1131675917">
      <w:bodyDiv w:val="1"/>
      <w:marLeft w:val="0"/>
      <w:marRight w:val="0"/>
      <w:marTop w:val="0"/>
      <w:marBottom w:val="0"/>
      <w:divBdr>
        <w:top w:val="none" w:sz="0" w:space="0" w:color="auto"/>
        <w:left w:val="none" w:sz="0" w:space="0" w:color="auto"/>
        <w:bottom w:val="none" w:sz="0" w:space="0" w:color="auto"/>
        <w:right w:val="none" w:sz="0" w:space="0" w:color="auto"/>
      </w:divBdr>
    </w:div>
    <w:div w:id="1135097220">
      <w:bodyDiv w:val="1"/>
      <w:marLeft w:val="0"/>
      <w:marRight w:val="0"/>
      <w:marTop w:val="0"/>
      <w:marBottom w:val="0"/>
      <w:divBdr>
        <w:top w:val="none" w:sz="0" w:space="0" w:color="auto"/>
        <w:left w:val="none" w:sz="0" w:space="0" w:color="auto"/>
        <w:bottom w:val="none" w:sz="0" w:space="0" w:color="auto"/>
        <w:right w:val="none" w:sz="0" w:space="0" w:color="auto"/>
      </w:divBdr>
    </w:div>
    <w:div w:id="1141776451">
      <w:bodyDiv w:val="1"/>
      <w:marLeft w:val="0"/>
      <w:marRight w:val="0"/>
      <w:marTop w:val="0"/>
      <w:marBottom w:val="0"/>
      <w:divBdr>
        <w:top w:val="none" w:sz="0" w:space="0" w:color="auto"/>
        <w:left w:val="none" w:sz="0" w:space="0" w:color="auto"/>
        <w:bottom w:val="none" w:sz="0" w:space="0" w:color="auto"/>
        <w:right w:val="none" w:sz="0" w:space="0" w:color="auto"/>
      </w:divBdr>
    </w:div>
    <w:div w:id="1145775104">
      <w:bodyDiv w:val="1"/>
      <w:marLeft w:val="0"/>
      <w:marRight w:val="0"/>
      <w:marTop w:val="0"/>
      <w:marBottom w:val="0"/>
      <w:divBdr>
        <w:top w:val="none" w:sz="0" w:space="0" w:color="auto"/>
        <w:left w:val="none" w:sz="0" w:space="0" w:color="auto"/>
        <w:bottom w:val="none" w:sz="0" w:space="0" w:color="auto"/>
        <w:right w:val="none" w:sz="0" w:space="0" w:color="auto"/>
      </w:divBdr>
    </w:div>
    <w:div w:id="1152989956">
      <w:bodyDiv w:val="1"/>
      <w:marLeft w:val="0"/>
      <w:marRight w:val="0"/>
      <w:marTop w:val="0"/>
      <w:marBottom w:val="0"/>
      <w:divBdr>
        <w:top w:val="none" w:sz="0" w:space="0" w:color="auto"/>
        <w:left w:val="none" w:sz="0" w:space="0" w:color="auto"/>
        <w:bottom w:val="none" w:sz="0" w:space="0" w:color="auto"/>
        <w:right w:val="none" w:sz="0" w:space="0" w:color="auto"/>
      </w:divBdr>
    </w:div>
    <w:div w:id="1156461428">
      <w:bodyDiv w:val="1"/>
      <w:marLeft w:val="0"/>
      <w:marRight w:val="0"/>
      <w:marTop w:val="0"/>
      <w:marBottom w:val="0"/>
      <w:divBdr>
        <w:top w:val="none" w:sz="0" w:space="0" w:color="auto"/>
        <w:left w:val="none" w:sz="0" w:space="0" w:color="auto"/>
        <w:bottom w:val="none" w:sz="0" w:space="0" w:color="auto"/>
        <w:right w:val="none" w:sz="0" w:space="0" w:color="auto"/>
      </w:divBdr>
    </w:div>
    <w:div w:id="1161048100">
      <w:bodyDiv w:val="1"/>
      <w:marLeft w:val="0"/>
      <w:marRight w:val="0"/>
      <w:marTop w:val="0"/>
      <w:marBottom w:val="0"/>
      <w:divBdr>
        <w:top w:val="none" w:sz="0" w:space="0" w:color="auto"/>
        <w:left w:val="none" w:sz="0" w:space="0" w:color="auto"/>
        <w:bottom w:val="none" w:sz="0" w:space="0" w:color="auto"/>
        <w:right w:val="none" w:sz="0" w:space="0" w:color="auto"/>
      </w:divBdr>
    </w:div>
    <w:div w:id="1164399639">
      <w:bodyDiv w:val="1"/>
      <w:marLeft w:val="0"/>
      <w:marRight w:val="0"/>
      <w:marTop w:val="0"/>
      <w:marBottom w:val="0"/>
      <w:divBdr>
        <w:top w:val="none" w:sz="0" w:space="0" w:color="auto"/>
        <w:left w:val="none" w:sz="0" w:space="0" w:color="auto"/>
        <w:bottom w:val="none" w:sz="0" w:space="0" w:color="auto"/>
        <w:right w:val="none" w:sz="0" w:space="0" w:color="auto"/>
      </w:divBdr>
    </w:div>
    <w:div w:id="1168521266">
      <w:bodyDiv w:val="1"/>
      <w:marLeft w:val="0"/>
      <w:marRight w:val="0"/>
      <w:marTop w:val="0"/>
      <w:marBottom w:val="0"/>
      <w:divBdr>
        <w:top w:val="none" w:sz="0" w:space="0" w:color="auto"/>
        <w:left w:val="none" w:sz="0" w:space="0" w:color="auto"/>
        <w:bottom w:val="none" w:sz="0" w:space="0" w:color="auto"/>
        <w:right w:val="none" w:sz="0" w:space="0" w:color="auto"/>
      </w:divBdr>
    </w:div>
    <w:div w:id="1209025960">
      <w:bodyDiv w:val="1"/>
      <w:marLeft w:val="0"/>
      <w:marRight w:val="0"/>
      <w:marTop w:val="0"/>
      <w:marBottom w:val="0"/>
      <w:divBdr>
        <w:top w:val="none" w:sz="0" w:space="0" w:color="auto"/>
        <w:left w:val="none" w:sz="0" w:space="0" w:color="auto"/>
        <w:bottom w:val="none" w:sz="0" w:space="0" w:color="auto"/>
        <w:right w:val="none" w:sz="0" w:space="0" w:color="auto"/>
      </w:divBdr>
    </w:div>
    <w:div w:id="1210919564">
      <w:bodyDiv w:val="1"/>
      <w:marLeft w:val="0"/>
      <w:marRight w:val="0"/>
      <w:marTop w:val="0"/>
      <w:marBottom w:val="0"/>
      <w:divBdr>
        <w:top w:val="none" w:sz="0" w:space="0" w:color="auto"/>
        <w:left w:val="none" w:sz="0" w:space="0" w:color="auto"/>
        <w:bottom w:val="none" w:sz="0" w:space="0" w:color="auto"/>
        <w:right w:val="none" w:sz="0" w:space="0" w:color="auto"/>
      </w:divBdr>
    </w:div>
    <w:div w:id="1213662070">
      <w:bodyDiv w:val="1"/>
      <w:marLeft w:val="0"/>
      <w:marRight w:val="0"/>
      <w:marTop w:val="0"/>
      <w:marBottom w:val="0"/>
      <w:divBdr>
        <w:top w:val="none" w:sz="0" w:space="0" w:color="auto"/>
        <w:left w:val="none" w:sz="0" w:space="0" w:color="auto"/>
        <w:bottom w:val="none" w:sz="0" w:space="0" w:color="auto"/>
        <w:right w:val="none" w:sz="0" w:space="0" w:color="auto"/>
      </w:divBdr>
    </w:div>
    <w:div w:id="1217201405">
      <w:bodyDiv w:val="1"/>
      <w:marLeft w:val="0"/>
      <w:marRight w:val="0"/>
      <w:marTop w:val="0"/>
      <w:marBottom w:val="0"/>
      <w:divBdr>
        <w:top w:val="none" w:sz="0" w:space="0" w:color="auto"/>
        <w:left w:val="none" w:sz="0" w:space="0" w:color="auto"/>
        <w:bottom w:val="none" w:sz="0" w:space="0" w:color="auto"/>
        <w:right w:val="none" w:sz="0" w:space="0" w:color="auto"/>
      </w:divBdr>
    </w:div>
    <w:div w:id="1217398189">
      <w:bodyDiv w:val="1"/>
      <w:marLeft w:val="0"/>
      <w:marRight w:val="0"/>
      <w:marTop w:val="0"/>
      <w:marBottom w:val="0"/>
      <w:divBdr>
        <w:top w:val="none" w:sz="0" w:space="0" w:color="auto"/>
        <w:left w:val="none" w:sz="0" w:space="0" w:color="auto"/>
        <w:bottom w:val="none" w:sz="0" w:space="0" w:color="auto"/>
        <w:right w:val="none" w:sz="0" w:space="0" w:color="auto"/>
      </w:divBdr>
    </w:div>
    <w:div w:id="1238827358">
      <w:bodyDiv w:val="1"/>
      <w:marLeft w:val="0"/>
      <w:marRight w:val="0"/>
      <w:marTop w:val="0"/>
      <w:marBottom w:val="0"/>
      <w:divBdr>
        <w:top w:val="none" w:sz="0" w:space="0" w:color="auto"/>
        <w:left w:val="none" w:sz="0" w:space="0" w:color="auto"/>
        <w:bottom w:val="none" w:sz="0" w:space="0" w:color="auto"/>
        <w:right w:val="none" w:sz="0" w:space="0" w:color="auto"/>
      </w:divBdr>
    </w:div>
    <w:div w:id="1266380019">
      <w:bodyDiv w:val="1"/>
      <w:marLeft w:val="0"/>
      <w:marRight w:val="0"/>
      <w:marTop w:val="0"/>
      <w:marBottom w:val="0"/>
      <w:divBdr>
        <w:top w:val="none" w:sz="0" w:space="0" w:color="auto"/>
        <w:left w:val="none" w:sz="0" w:space="0" w:color="auto"/>
        <w:bottom w:val="none" w:sz="0" w:space="0" w:color="auto"/>
        <w:right w:val="none" w:sz="0" w:space="0" w:color="auto"/>
      </w:divBdr>
    </w:div>
    <w:div w:id="1289044790">
      <w:bodyDiv w:val="1"/>
      <w:marLeft w:val="0"/>
      <w:marRight w:val="0"/>
      <w:marTop w:val="0"/>
      <w:marBottom w:val="0"/>
      <w:divBdr>
        <w:top w:val="none" w:sz="0" w:space="0" w:color="auto"/>
        <w:left w:val="none" w:sz="0" w:space="0" w:color="auto"/>
        <w:bottom w:val="none" w:sz="0" w:space="0" w:color="auto"/>
        <w:right w:val="none" w:sz="0" w:space="0" w:color="auto"/>
      </w:divBdr>
    </w:div>
    <w:div w:id="1291283869">
      <w:bodyDiv w:val="1"/>
      <w:marLeft w:val="0"/>
      <w:marRight w:val="0"/>
      <w:marTop w:val="0"/>
      <w:marBottom w:val="0"/>
      <w:divBdr>
        <w:top w:val="none" w:sz="0" w:space="0" w:color="auto"/>
        <w:left w:val="none" w:sz="0" w:space="0" w:color="auto"/>
        <w:bottom w:val="none" w:sz="0" w:space="0" w:color="auto"/>
        <w:right w:val="none" w:sz="0" w:space="0" w:color="auto"/>
      </w:divBdr>
    </w:div>
    <w:div w:id="1296330432">
      <w:bodyDiv w:val="1"/>
      <w:marLeft w:val="0"/>
      <w:marRight w:val="0"/>
      <w:marTop w:val="0"/>
      <w:marBottom w:val="0"/>
      <w:divBdr>
        <w:top w:val="none" w:sz="0" w:space="0" w:color="auto"/>
        <w:left w:val="none" w:sz="0" w:space="0" w:color="auto"/>
        <w:bottom w:val="none" w:sz="0" w:space="0" w:color="auto"/>
        <w:right w:val="none" w:sz="0" w:space="0" w:color="auto"/>
      </w:divBdr>
    </w:div>
    <w:div w:id="1315909849">
      <w:bodyDiv w:val="1"/>
      <w:marLeft w:val="0"/>
      <w:marRight w:val="0"/>
      <w:marTop w:val="0"/>
      <w:marBottom w:val="0"/>
      <w:divBdr>
        <w:top w:val="none" w:sz="0" w:space="0" w:color="auto"/>
        <w:left w:val="none" w:sz="0" w:space="0" w:color="auto"/>
        <w:bottom w:val="none" w:sz="0" w:space="0" w:color="auto"/>
        <w:right w:val="none" w:sz="0" w:space="0" w:color="auto"/>
      </w:divBdr>
    </w:div>
    <w:div w:id="1319261095">
      <w:bodyDiv w:val="1"/>
      <w:marLeft w:val="0"/>
      <w:marRight w:val="0"/>
      <w:marTop w:val="0"/>
      <w:marBottom w:val="0"/>
      <w:divBdr>
        <w:top w:val="none" w:sz="0" w:space="0" w:color="auto"/>
        <w:left w:val="none" w:sz="0" w:space="0" w:color="auto"/>
        <w:bottom w:val="none" w:sz="0" w:space="0" w:color="auto"/>
        <w:right w:val="none" w:sz="0" w:space="0" w:color="auto"/>
      </w:divBdr>
    </w:div>
    <w:div w:id="1329091321">
      <w:bodyDiv w:val="1"/>
      <w:marLeft w:val="0"/>
      <w:marRight w:val="0"/>
      <w:marTop w:val="0"/>
      <w:marBottom w:val="0"/>
      <w:divBdr>
        <w:top w:val="none" w:sz="0" w:space="0" w:color="auto"/>
        <w:left w:val="none" w:sz="0" w:space="0" w:color="auto"/>
        <w:bottom w:val="none" w:sz="0" w:space="0" w:color="auto"/>
        <w:right w:val="none" w:sz="0" w:space="0" w:color="auto"/>
      </w:divBdr>
    </w:div>
    <w:div w:id="1334718483">
      <w:bodyDiv w:val="1"/>
      <w:marLeft w:val="0"/>
      <w:marRight w:val="0"/>
      <w:marTop w:val="0"/>
      <w:marBottom w:val="0"/>
      <w:divBdr>
        <w:top w:val="none" w:sz="0" w:space="0" w:color="auto"/>
        <w:left w:val="none" w:sz="0" w:space="0" w:color="auto"/>
        <w:bottom w:val="none" w:sz="0" w:space="0" w:color="auto"/>
        <w:right w:val="none" w:sz="0" w:space="0" w:color="auto"/>
      </w:divBdr>
    </w:div>
    <w:div w:id="1352342497">
      <w:bodyDiv w:val="1"/>
      <w:marLeft w:val="0"/>
      <w:marRight w:val="0"/>
      <w:marTop w:val="0"/>
      <w:marBottom w:val="0"/>
      <w:divBdr>
        <w:top w:val="none" w:sz="0" w:space="0" w:color="auto"/>
        <w:left w:val="none" w:sz="0" w:space="0" w:color="auto"/>
        <w:bottom w:val="none" w:sz="0" w:space="0" w:color="auto"/>
        <w:right w:val="none" w:sz="0" w:space="0" w:color="auto"/>
      </w:divBdr>
    </w:div>
    <w:div w:id="1355885171">
      <w:bodyDiv w:val="1"/>
      <w:marLeft w:val="0"/>
      <w:marRight w:val="0"/>
      <w:marTop w:val="0"/>
      <w:marBottom w:val="0"/>
      <w:divBdr>
        <w:top w:val="none" w:sz="0" w:space="0" w:color="auto"/>
        <w:left w:val="none" w:sz="0" w:space="0" w:color="auto"/>
        <w:bottom w:val="none" w:sz="0" w:space="0" w:color="auto"/>
        <w:right w:val="none" w:sz="0" w:space="0" w:color="auto"/>
      </w:divBdr>
    </w:div>
    <w:div w:id="1374766816">
      <w:bodyDiv w:val="1"/>
      <w:marLeft w:val="0"/>
      <w:marRight w:val="0"/>
      <w:marTop w:val="0"/>
      <w:marBottom w:val="0"/>
      <w:divBdr>
        <w:top w:val="none" w:sz="0" w:space="0" w:color="auto"/>
        <w:left w:val="none" w:sz="0" w:space="0" w:color="auto"/>
        <w:bottom w:val="none" w:sz="0" w:space="0" w:color="auto"/>
        <w:right w:val="none" w:sz="0" w:space="0" w:color="auto"/>
      </w:divBdr>
    </w:div>
    <w:div w:id="1378234427">
      <w:bodyDiv w:val="1"/>
      <w:marLeft w:val="0"/>
      <w:marRight w:val="0"/>
      <w:marTop w:val="0"/>
      <w:marBottom w:val="0"/>
      <w:divBdr>
        <w:top w:val="none" w:sz="0" w:space="0" w:color="auto"/>
        <w:left w:val="none" w:sz="0" w:space="0" w:color="auto"/>
        <w:bottom w:val="none" w:sz="0" w:space="0" w:color="auto"/>
        <w:right w:val="none" w:sz="0" w:space="0" w:color="auto"/>
      </w:divBdr>
    </w:div>
    <w:div w:id="1381589706">
      <w:bodyDiv w:val="1"/>
      <w:marLeft w:val="0"/>
      <w:marRight w:val="0"/>
      <w:marTop w:val="0"/>
      <w:marBottom w:val="0"/>
      <w:divBdr>
        <w:top w:val="none" w:sz="0" w:space="0" w:color="auto"/>
        <w:left w:val="none" w:sz="0" w:space="0" w:color="auto"/>
        <w:bottom w:val="none" w:sz="0" w:space="0" w:color="auto"/>
        <w:right w:val="none" w:sz="0" w:space="0" w:color="auto"/>
      </w:divBdr>
    </w:div>
    <w:div w:id="1388452053">
      <w:bodyDiv w:val="1"/>
      <w:marLeft w:val="0"/>
      <w:marRight w:val="0"/>
      <w:marTop w:val="0"/>
      <w:marBottom w:val="0"/>
      <w:divBdr>
        <w:top w:val="none" w:sz="0" w:space="0" w:color="auto"/>
        <w:left w:val="none" w:sz="0" w:space="0" w:color="auto"/>
        <w:bottom w:val="none" w:sz="0" w:space="0" w:color="auto"/>
        <w:right w:val="none" w:sz="0" w:space="0" w:color="auto"/>
      </w:divBdr>
    </w:div>
    <w:div w:id="1394086834">
      <w:bodyDiv w:val="1"/>
      <w:marLeft w:val="0"/>
      <w:marRight w:val="0"/>
      <w:marTop w:val="0"/>
      <w:marBottom w:val="0"/>
      <w:divBdr>
        <w:top w:val="none" w:sz="0" w:space="0" w:color="auto"/>
        <w:left w:val="none" w:sz="0" w:space="0" w:color="auto"/>
        <w:bottom w:val="none" w:sz="0" w:space="0" w:color="auto"/>
        <w:right w:val="none" w:sz="0" w:space="0" w:color="auto"/>
      </w:divBdr>
    </w:div>
    <w:div w:id="1406033612">
      <w:bodyDiv w:val="1"/>
      <w:marLeft w:val="0"/>
      <w:marRight w:val="0"/>
      <w:marTop w:val="0"/>
      <w:marBottom w:val="0"/>
      <w:divBdr>
        <w:top w:val="none" w:sz="0" w:space="0" w:color="auto"/>
        <w:left w:val="none" w:sz="0" w:space="0" w:color="auto"/>
        <w:bottom w:val="none" w:sz="0" w:space="0" w:color="auto"/>
        <w:right w:val="none" w:sz="0" w:space="0" w:color="auto"/>
      </w:divBdr>
    </w:div>
    <w:div w:id="1412310927">
      <w:bodyDiv w:val="1"/>
      <w:marLeft w:val="0"/>
      <w:marRight w:val="0"/>
      <w:marTop w:val="0"/>
      <w:marBottom w:val="0"/>
      <w:divBdr>
        <w:top w:val="none" w:sz="0" w:space="0" w:color="auto"/>
        <w:left w:val="none" w:sz="0" w:space="0" w:color="auto"/>
        <w:bottom w:val="none" w:sz="0" w:space="0" w:color="auto"/>
        <w:right w:val="none" w:sz="0" w:space="0" w:color="auto"/>
      </w:divBdr>
    </w:div>
    <w:div w:id="1415397384">
      <w:bodyDiv w:val="1"/>
      <w:marLeft w:val="0"/>
      <w:marRight w:val="0"/>
      <w:marTop w:val="0"/>
      <w:marBottom w:val="0"/>
      <w:divBdr>
        <w:top w:val="none" w:sz="0" w:space="0" w:color="auto"/>
        <w:left w:val="none" w:sz="0" w:space="0" w:color="auto"/>
        <w:bottom w:val="none" w:sz="0" w:space="0" w:color="auto"/>
        <w:right w:val="none" w:sz="0" w:space="0" w:color="auto"/>
      </w:divBdr>
    </w:div>
    <w:div w:id="1430201563">
      <w:bodyDiv w:val="1"/>
      <w:marLeft w:val="0"/>
      <w:marRight w:val="0"/>
      <w:marTop w:val="0"/>
      <w:marBottom w:val="0"/>
      <w:divBdr>
        <w:top w:val="none" w:sz="0" w:space="0" w:color="auto"/>
        <w:left w:val="none" w:sz="0" w:space="0" w:color="auto"/>
        <w:bottom w:val="none" w:sz="0" w:space="0" w:color="auto"/>
        <w:right w:val="none" w:sz="0" w:space="0" w:color="auto"/>
      </w:divBdr>
    </w:div>
    <w:div w:id="1432431344">
      <w:bodyDiv w:val="1"/>
      <w:marLeft w:val="0"/>
      <w:marRight w:val="0"/>
      <w:marTop w:val="0"/>
      <w:marBottom w:val="0"/>
      <w:divBdr>
        <w:top w:val="none" w:sz="0" w:space="0" w:color="auto"/>
        <w:left w:val="none" w:sz="0" w:space="0" w:color="auto"/>
        <w:bottom w:val="none" w:sz="0" w:space="0" w:color="auto"/>
        <w:right w:val="none" w:sz="0" w:space="0" w:color="auto"/>
      </w:divBdr>
    </w:div>
    <w:div w:id="1432817720">
      <w:bodyDiv w:val="1"/>
      <w:marLeft w:val="0"/>
      <w:marRight w:val="0"/>
      <w:marTop w:val="0"/>
      <w:marBottom w:val="0"/>
      <w:divBdr>
        <w:top w:val="none" w:sz="0" w:space="0" w:color="auto"/>
        <w:left w:val="none" w:sz="0" w:space="0" w:color="auto"/>
        <w:bottom w:val="none" w:sz="0" w:space="0" w:color="auto"/>
        <w:right w:val="none" w:sz="0" w:space="0" w:color="auto"/>
      </w:divBdr>
    </w:div>
    <w:div w:id="1453866827">
      <w:bodyDiv w:val="1"/>
      <w:marLeft w:val="0"/>
      <w:marRight w:val="0"/>
      <w:marTop w:val="0"/>
      <w:marBottom w:val="0"/>
      <w:divBdr>
        <w:top w:val="none" w:sz="0" w:space="0" w:color="auto"/>
        <w:left w:val="none" w:sz="0" w:space="0" w:color="auto"/>
        <w:bottom w:val="none" w:sz="0" w:space="0" w:color="auto"/>
        <w:right w:val="none" w:sz="0" w:space="0" w:color="auto"/>
      </w:divBdr>
    </w:div>
    <w:div w:id="1472626044">
      <w:bodyDiv w:val="1"/>
      <w:marLeft w:val="0"/>
      <w:marRight w:val="0"/>
      <w:marTop w:val="0"/>
      <w:marBottom w:val="0"/>
      <w:divBdr>
        <w:top w:val="none" w:sz="0" w:space="0" w:color="auto"/>
        <w:left w:val="none" w:sz="0" w:space="0" w:color="auto"/>
        <w:bottom w:val="none" w:sz="0" w:space="0" w:color="auto"/>
        <w:right w:val="none" w:sz="0" w:space="0" w:color="auto"/>
      </w:divBdr>
    </w:div>
    <w:div w:id="1499997631">
      <w:bodyDiv w:val="1"/>
      <w:marLeft w:val="0"/>
      <w:marRight w:val="0"/>
      <w:marTop w:val="0"/>
      <w:marBottom w:val="0"/>
      <w:divBdr>
        <w:top w:val="none" w:sz="0" w:space="0" w:color="auto"/>
        <w:left w:val="none" w:sz="0" w:space="0" w:color="auto"/>
        <w:bottom w:val="none" w:sz="0" w:space="0" w:color="auto"/>
        <w:right w:val="none" w:sz="0" w:space="0" w:color="auto"/>
      </w:divBdr>
    </w:div>
    <w:div w:id="1506241337">
      <w:bodyDiv w:val="1"/>
      <w:marLeft w:val="0"/>
      <w:marRight w:val="0"/>
      <w:marTop w:val="0"/>
      <w:marBottom w:val="0"/>
      <w:divBdr>
        <w:top w:val="none" w:sz="0" w:space="0" w:color="auto"/>
        <w:left w:val="none" w:sz="0" w:space="0" w:color="auto"/>
        <w:bottom w:val="none" w:sz="0" w:space="0" w:color="auto"/>
        <w:right w:val="none" w:sz="0" w:space="0" w:color="auto"/>
      </w:divBdr>
    </w:div>
    <w:div w:id="1506480510">
      <w:bodyDiv w:val="1"/>
      <w:marLeft w:val="0"/>
      <w:marRight w:val="0"/>
      <w:marTop w:val="0"/>
      <w:marBottom w:val="0"/>
      <w:divBdr>
        <w:top w:val="none" w:sz="0" w:space="0" w:color="auto"/>
        <w:left w:val="none" w:sz="0" w:space="0" w:color="auto"/>
        <w:bottom w:val="none" w:sz="0" w:space="0" w:color="auto"/>
        <w:right w:val="none" w:sz="0" w:space="0" w:color="auto"/>
      </w:divBdr>
    </w:div>
    <w:div w:id="1557398809">
      <w:bodyDiv w:val="1"/>
      <w:marLeft w:val="0"/>
      <w:marRight w:val="0"/>
      <w:marTop w:val="0"/>
      <w:marBottom w:val="0"/>
      <w:divBdr>
        <w:top w:val="none" w:sz="0" w:space="0" w:color="auto"/>
        <w:left w:val="none" w:sz="0" w:space="0" w:color="auto"/>
        <w:bottom w:val="none" w:sz="0" w:space="0" w:color="auto"/>
        <w:right w:val="none" w:sz="0" w:space="0" w:color="auto"/>
      </w:divBdr>
    </w:div>
    <w:div w:id="1561089275">
      <w:bodyDiv w:val="1"/>
      <w:marLeft w:val="0"/>
      <w:marRight w:val="0"/>
      <w:marTop w:val="0"/>
      <w:marBottom w:val="0"/>
      <w:divBdr>
        <w:top w:val="none" w:sz="0" w:space="0" w:color="auto"/>
        <w:left w:val="none" w:sz="0" w:space="0" w:color="auto"/>
        <w:bottom w:val="none" w:sz="0" w:space="0" w:color="auto"/>
        <w:right w:val="none" w:sz="0" w:space="0" w:color="auto"/>
      </w:divBdr>
    </w:div>
    <w:div w:id="1566839614">
      <w:bodyDiv w:val="1"/>
      <w:marLeft w:val="0"/>
      <w:marRight w:val="0"/>
      <w:marTop w:val="0"/>
      <w:marBottom w:val="0"/>
      <w:divBdr>
        <w:top w:val="none" w:sz="0" w:space="0" w:color="auto"/>
        <w:left w:val="none" w:sz="0" w:space="0" w:color="auto"/>
        <w:bottom w:val="none" w:sz="0" w:space="0" w:color="auto"/>
        <w:right w:val="none" w:sz="0" w:space="0" w:color="auto"/>
      </w:divBdr>
    </w:div>
    <w:div w:id="1576670889">
      <w:bodyDiv w:val="1"/>
      <w:marLeft w:val="0"/>
      <w:marRight w:val="0"/>
      <w:marTop w:val="0"/>
      <w:marBottom w:val="0"/>
      <w:divBdr>
        <w:top w:val="none" w:sz="0" w:space="0" w:color="auto"/>
        <w:left w:val="none" w:sz="0" w:space="0" w:color="auto"/>
        <w:bottom w:val="none" w:sz="0" w:space="0" w:color="auto"/>
        <w:right w:val="none" w:sz="0" w:space="0" w:color="auto"/>
      </w:divBdr>
    </w:div>
    <w:div w:id="1580364263">
      <w:bodyDiv w:val="1"/>
      <w:marLeft w:val="0"/>
      <w:marRight w:val="0"/>
      <w:marTop w:val="0"/>
      <w:marBottom w:val="0"/>
      <w:divBdr>
        <w:top w:val="none" w:sz="0" w:space="0" w:color="auto"/>
        <w:left w:val="none" w:sz="0" w:space="0" w:color="auto"/>
        <w:bottom w:val="none" w:sz="0" w:space="0" w:color="auto"/>
        <w:right w:val="none" w:sz="0" w:space="0" w:color="auto"/>
      </w:divBdr>
    </w:div>
    <w:div w:id="1615743204">
      <w:bodyDiv w:val="1"/>
      <w:marLeft w:val="0"/>
      <w:marRight w:val="0"/>
      <w:marTop w:val="0"/>
      <w:marBottom w:val="0"/>
      <w:divBdr>
        <w:top w:val="none" w:sz="0" w:space="0" w:color="auto"/>
        <w:left w:val="none" w:sz="0" w:space="0" w:color="auto"/>
        <w:bottom w:val="none" w:sz="0" w:space="0" w:color="auto"/>
        <w:right w:val="none" w:sz="0" w:space="0" w:color="auto"/>
      </w:divBdr>
    </w:div>
    <w:div w:id="1620407965">
      <w:bodyDiv w:val="1"/>
      <w:marLeft w:val="0"/>
      <w:marRight w:val="0"/>
      <w:marTop w:val="0"/>
      <w:marBottom w:val="0"/>
      <w:divBdr>
        <w:top w:val="none" w:sz="0" w:space="0" w:color="auto"/>
        <w:left w:val="none" w:sz="0" w:space="0" w:color="auto"/>
        <w:bottom w:val="none" w:sz="0" w:space="0" w:color="auto"/>
        <w:right w:val="none" w:sz="0" w:space="0" w:color="auto"/>
      </w:divBdr>
    </w:div>
    <w:div w:id="1621298051">
      <w:bodyDiv w:val="1"/>
      <w:marLeft w:val="0"/>
      <w:marRight w:val="0"/>
      <w:marTop w:val="0"/>
      <w:marBottom w:val="0"/>
      <w:divBdr>
        <w:top w:val="none" w:sz="0" w:space="0" w:color="auto"/>
        <w:left w:val="none" w:sz="0" w:space="0" w:color="auto"/>
        <w:bottom w:val="none" w:sz="0" w:space="0" w:color="auto"/>
        <w:right w:val="none" w:sz="0" w:space="0" w:color="auto"/>
      </w:divBdr>
    </w:div>
    <w:div w:id="1621448682">
      <w:bodyDiv w:val="1"/>
      <w:marLeft w:val="0"/>
      <w:marRight w:val="0"/>
      <w:marTop w:val="0"/>
      <w:marBottom w:val="0"/>
      <w:divBdr>
        <w:top w:val="none" w:sz="0" w:space="0" w:color="auto"/>
        <w:left w:val="none" w:sz="0" w:space="0" w:color="auto"/>
        <w:bottom w:val="none" w:sz="0" w:space="0" w:color="auto"/>
        <w:right w:val="none" w:sz="0" w:space="0" w:color="auto"/>
      </w:divBdr>
    </w:div>
    <w:div w:id="1624119235">
      <w:bodyDiv w:val="1"/>
      <w:marLeft w:val="0"/>
      <w:marRight w:val="0"/>
      <w:marTop w:val="0"/>
      <w:marBottom w:val="0"/>
      <w:divBdr>
        <w:top w:val="none" w:sz="0" w:space="0" w:color="auto"/>
        <w:left w:val="none" w:sz="0" w:space="0" w:color="auto"/>
        <w:bottom w:val="none" w:sz="0" w:space="0" w:color="auto"/>
        <w:right w:val="none" w:sz="0" w:space="0" w:color="auto"/>
      </w:divBdr>
    </w:div>
    <w:div w:id="1645355483">
      <w:bodyDiv w:val="1"/>
      <w:marLeft w:val="0"/>
      <w:marRight w:val="0"/>
      <w:marTop w:val="0"/>
      <w:marBottom w:val="0"/>
      <w:divBdr>
        <w:top w:val="none" w:sz="0" w:space="0" w:color="auto"/>
        <w:left w:val="none" w:sz="0" w:space="0" w:color="auto"/>
        <w:bottom w:val="none" w:sz="0" w:space="0" w:color="auto"/>
        <w:right w:val="none" w:sz="0" w:space="0" w:color="auto"/>
      </w:divBdr>
    </w:div>
    <w:div w:id="1649239323">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74455216">
      <w:bodyDiv w:val="1"/>
      <w:marLeft w:val="0"/>
      <w:marRight w:val="0"/>
      <w:marTop w:val="0"/>
      <w:marBottom w:val="0"/>
      <w:divBdr>
        <w:top w:val="none" w:sz="0" w:space="0" w:color="auto"/>
        <w:left w:val="none" w:sz="0" w:space="0" w:color="auto"/>
        <w:bottom w:val="none" w:sz="0" w:space="0" w:color="auto"/>
        <w:right w:val="none" w:sz="0" w:space="0" w:color="auto"/>
      </w:divBdr>
    </w:div>
    <w:div w:id="1694066403">
      <w:bodyDiv w:val="1"/>
      <w:marLeft w:val="0"/>
      <w:marRight w:val="0"/>
      <w:marTop w:val="0"/>
      <w:marBottom w:val="0"/>
      <w:divBdr>
        <w:top w:val="none" w:sz="0" w:space="0" w:color="auto"/>
        <w:left w:val="none" w:sz="0" w:space="0" w:color="auto"/>
        <w:bottom w:val="none" w:sz="0" w:space="0" w:color="auto"/>
        <w:right w:val="none" w:sz="0" w:space="0" w:color="auto"/>
      </w:divBdr>
    </w:div>
    <w:div w:id="1695500708">
      <w:bodyDiv w:val="1"/>
      <w:marLeft w:val="0"/>
      <w:marRight w:val="0"/>
      <w:marTop w:val="0"/>
      <w:marBottom w:val="0"/>
      <w:divBdr>
        <w:top w:val="none" w:sz="0" w:space="0" w:color="auto"/>
        <w:left w:val="none" w:sz="0" w:space="0" w:color="auto"/>
        <w:bottom w:val="none" w:sz="0" w:space="0" w:color="auto"/>
        <w:right w:val="none" w:sz="0" w:space="0" w:color="auto"/>
      </w:divBdr>
    </w:div>
    <w:div w:id="1704329842">
      <w:bodyDiv w:val="1"/>
      <w:marLeft w:val="0"/>
      <w:marRight w:val="0"/>
      <w:marTop w:val="0"/>
      <w:marBottom w:val="0"/>
      <w:divBdr>
        <w:top w:val="none" w:sz="0" w:space="0" w:color="auto"/>
        <w:left w:val="none" w:sz="0" w:space="0" w:color="auto"/>
        <w:bottom w:val="none" w:sz="0" w:space="0" w:color="auto"/>
        <w:right w:val="none" w:sz="0" w:space="0" w:color="auto"/>
      </w:divBdr>
    </w:div>
    <w:div w:id="1717922867">
      <w:bodyDiv w:val="1"/>
      <w:marLeft w:val="0"/>
      <w:marRight w:val="0"/>
      <w:marTop w:val="0"/>
      <w:marBottom w:val="0"/>
      <w:divBdr>
        <w:top w:val="none" w:sz="0" w:space="0" w:color="auto"/>
        <w:left w:val="none" w:sz="0" w:space="0" w:color="auto"/>
        <w:bottom w:val="none" w:sz="0" w:space="0" w:color="auto"/>
        <w:right w:val="none" w:sz="0" w:space="0" w:color="auto"/>
      </w:divBdr>
    </w:div>
    <w:div w:id="1805274515">
      <w:bodyDiv w:val="1"/>
      <w:marLeft w:val="0"/>
      <w:marRight w:val="0"/>
      <w:marTop w:val="0"/>
      <w:marBottom w:val="0"/>
      <w:divBdr>
        <w:top w:val="none" w:sz="0" w:space="0" w:color="auto"/>
        <w:left w:val="none" w:sz="0" w:space="0" w:color="auto"/>
        <w:bottom w:val="none" w:sz="0" w:space="0" w:color="auto"/>
        <w:right w:val="none" w:sz="0" w:space="0" w:color="auto"/>
      </w:divBdr>
    </w:div>
    <w:div w:id="1836338512">
      <w:bodyDiv w:val="1"/>
      <w:marLeft w:val="0"/>
      <w:marRight w:val="0"/>
      <w:marTop w:val="0"/>
      <w:marBottom w:val="0"/>
      <w:divBdr>
        <w:top w:val="none" w:sz="0" w:space="0" w:color="auto"/>
        <w:left w:val="none" w:sz="0" w:space="0" w:color="auto"/>
        <w:bottom w:val="none" w:sz="0" w:space="0" w:color="auto"/>
        <w:right w:val="none" w:sz="0" w:space="0" w:color="auto"/>
      </w:divBdr>
    </w:div>
    <w:div w:id="1858881945">
      <w:bodyDiv w:val="1"/>
      <w:marLeft w:val="0"/>
      <w:marRight w:val="0"/>
      <w:marTop w:val="0"/>
      <w:marBottom w:val="0"/>
      <w:divBdr>
        <w:top w:val="none" w:sz="0" w:space="0" w:color="auto"/>
        <w:left w:val="none" w:sz="0" w:space="0" w:color="auto"/>
        <w:bottom w:val="none" w:sz="0" w:space="0" w:color="auto"/>
        <w:right w:val="none" w:sz="0" w:space="0" w:color="auto"/>
      </w:divBdr>
    </w:div>
    <w:div w:id="1869291364">
      <w:bodyDiv w:val="1"/>
      <w:marLeft w:val="0"/>
      <w:marRight w:val="0"/>
      <w:marTop w:val="0"/>
      <w:marBottom w:val="0"/>
      <w:divBdr>
        <w:top w:val="none" w:sz="0" w:space="0" w:color="auto"/>
        <w:left w:val="none" w:sz="0" w:space="0" w:color="auto"/>
        <w:bottom w:val="none" w:sz="0" w:space="0" w:color="auto"/>
        <w:right w:val="none" w:sz="0" w:space="0" w:color="auto"/>
      </w:divBdr>
    </w:div>
    <w:div w:id="1881629747">
      <w:bodyDiv w:val="1"/>
      <w:marLeft w:val="0"/>
      <w:marRight w:val="0"/>
      <w:marTop w:val="0"/>
      <w:marBottom w:val="0"/>
      <w:divBdr>
        <w:top w:val="none" w:sz="0" w:space="0" w:color="auto"/>
        <w:left w:val="none" w:sz="0" w:space="0" w:color="auto"/>
        <w:bottom w:val="none" w:sz="0" w:space="0" w:color="auto"/>
        <w:right w:val="none" w:sz="0" w:space="0" w:color="auto"/>
      </w:divBdr>
    </w:div>
    <w:div w:id="1894195335">
      <w:bodyDiv w:val="1"/>
      <w:marLeft w:val="0"/>
      <w:marRight w:val="0"/>
      <w:marTop w:val="0"/>
      <w:marBottom w:val="0"/>
      <w:divBdr>
        <w:top w:val="none" w:sz="0" w:space="0" w:color="auto"/>
        <w:left w:val="none" w:sz="0" w:space="0" w:color="auto"/>
        <w:bottom w:val="none" w:sz="0" w:space="0" w:color="auto"/>
        <w:right w:val="none" w:sz="0" w:space="0" w:color="auto"/>
      </w:divBdr>
    </w:div>
    <w:div w:id="1912495403">
      <w:bodyDiv w:val="1"/>
      <w:marLeft w:val="0"/>
      <w:marRight w:val="0"/>
      <w:marTop w:val="0"/>
      <w:marBottom w:val="0"/>
      <w:divBdr>
        <w:top w:val="none" w:sz="0" w:space="0" w:color="auto"/>
        <w:left w:val="none" w:sz="0" w:space="0" w:color="auto"/>
        <w:bottom w:val="none" w:sz="0" w:space="0" w:color="auto"/>
        <w:right w:val="none" w:sz="0" w:space="0" w:color="auto"/>
      </w:divBdr>
    </w:div>
    <w:div w:id="1913079455">
      <w:bodyDiv w:val="1"/>
      <w:marLeft w:val="0"/>
      <w:marRight w:val="0"/>
      <w:marTop w:val="0"/>
      <w:marBottom w:val="0"/>
      <w:divBdr>
        <w:top w:val="none" w:sz="0" w:space="0" w:color="auto"/>
        <w:left w:val="none" w:sz="0" w:space="0" w:color="auto"/>
        <w:bottom w:val="none" w:sz="0" w:space="0" w:color="auto"/>
        <w:right w:val="none" w:sz="0" w:space="0" w:color="auto"/>
      </w:divBdr>
    </w:div>
    <w:div w:id="1935628664">
      <w:bodyDiv w:val="1"/>
      <w:marLeft w:val="0"/>
      <w:marRight w:val="0"/>
      <w:marTop w:val="0"/>
      <w:marBottom w:val="0"/>
      <w:divBdr>
        <w:top w:val="none" w:sz="0" w:space="0" w:color="auto"/>
        <w:left w:val="none" w:sz="0" w:space="0" w:color="auto"/>
        <w:bottom w:val="none" w:sz="0" w:space="0" w:color="auto"/>
        <w:right w:val="none" w:sz="0" w:space="0" w:color="auto"/>
      </w:divBdr>
    </w:div>
    <w:div w:id="1936013085">
      <w:bodyDiv w:val="1"/>
      <w:marLeft w:val="0"/>
      <w:marRight w:val="0"/>
      <w:marTop w:val="0"/>
      <w:marBottom w:val="0"/>
      <w:divBdr>
        <w:top w:val="none" w:sz="0" w:space="0" w:color="auto"/>
        <w:left w:val="none" w:sz="0" w:space="0" w:color="auto"/>
        <w:bottom w:val="none" w:sz="0" w:space="0" w:color="auto"/>
        <w:right w:val="none" w:sz="0" w:space="0" w:color="auto"/>
      </w:divBdr>
    </w:div>
    <w:div w:id="1952125974">
      <w:bodyDiv w:val="1"/>
      <w:marLeft w:val="0"/>
      <w:marRight w:val="0"/>
      <w:marTop w:val="0"/>
      <w:marBottom w:val="0"/>
      <w:divBdr>
        <w:top w:val="none" w:sz="0" w:space="0" w:color="auto"/>
        <w:left w:val="none" w:sz="0" w:space="0" w:color="auto"/>
        <w:bottom w:val="none" w:sz="0" w:space="0" w:color="auto"/>
        <w:right w:val="none" w:sz="0" w:space="0" w:color="auto"/>
      </w:divBdr>
    </w:div>
    <w:div w:id="1966764811">
      <w:bodyDiv w:val="1"/>
      <w:marLeft w:val="0"/>
      <w:marRight w:val="0"/>
      <w:marTop w:val="0"/>
      <w:marBottom w:val="0"/>
      <w:divBdr>
        <w:top w:val="none" w:sz="0" w:space="0" w:color="auto"/>
        <w:left w:val="none" w:sz="0" w:space="0" w:color="auto"/>
        <w:bottom w:val="none" w:sz="0" w:space="0" w:color="auto"/>
        <w:right w:val="none" w:sz="0" w:space="0" w:color="auto"/>
      </w:divBdr>
    </w:div>
    <w:div w:id="1978026433">
      <w:bodyDiv w:val="1"/>
      <w:marLeft w:val="0"/>
      <w:marRight w:val="0"/>
      <w:marTop w:val="0"/>
      <w:marBottom w:val="0"/>
      <w:divBdr>
        <w:top w:val="none" w:sz="0" w:space="0" w:color="auto"/>
        <w:left w:val="none" w:sz="0" w:space="0" w:color="auto"/>
        <w:bottom w:val="none" w:sz="0" w:space="0" w:color="auto"/>
        <w:right w:val="none" w:sz="0" w:space="0" w:color="auto"/>
      </w:divBdr>
    </w:div>
    <w:div w:id="1984119998">
      <w:bodyDiv w:val="1"/>
      <w:marLeft w:val="0"/>
      <w:marRight w:val="0"/>
      <w:marTop w:val="0"/>
      <w:marBottom w:val="0"/>
      <w:divBdr>
        <w:top w:val="none" w:sz="0" w:space="0" w:color="auto"/>
        <w:left w:val="none" w:sz="0" w:space="0" w:color="auto"/>
        <w:bottom w:val="none" w:sz="0" w:space="0" w:color="auto"/>
        <w:right w:val="none" w:sz="0" w:space="0" w:color="auto"/>
      </w:divBdr>
    </w:div>
    <w:div w:id="2009479173">
      <w:bodyDiv w:val="1"/>
      <w:marLeft w:val="0"/>
      <w:marRight w:val="0"/>
      <w:marTop w:val="0"/>
      <w:marBottom w:val="0"/>
      <w:divBdr>
        <w:top w:val="none" w:sz="0" w:space="0" w:color="auto"/>
        <w:left w:val="none" w:sz="0" w:space="0" w:color="auto"/>
        <w:bottom w:val="none" w:sz="0" w:space="0" w:color="auto"/>
        <w:right w:val="none" w:sz="0" w:space="0" w:color="auto"/>
      </w:divBdr>
    </w:div>
    <w:div w:id="2034073083">
      <w:bodyDiv w:val="1"/>
      <w:marLeft w:val="0"/>
      <w:marRight w:val="0"/>
      <w:marTop w:val="0"/>
      <w:marBottom w:val="0"/>
      <w:divBdr>
        <w:top w:val="none" w:sz="0" w:space="0" w:color="auto"/>
        <w:left w:val="none" w:sz="0" w:space="0" w:color="auto"/>
        <w:bottom w:val="none" w:sz="0" w:space="0" w:color="auto"/>
        <w:right w:val="none" w:sz="0" w:space="0" w:color="auto"/>
      </w:divBdr>
    </w:div>
    <w:div w:id="2038777221">
      <w:bodyDiv w:val="1"/>
      <w:marLeft w:val="0"/>
      <w:marRight w:val="0"/>
      <w:marTop w:val="0"/>
      <w:marBottom w:val="0"/>
      <w:divBdr>
        <w:top w:val="none" w:sz="0" w:space="0" w:color="auto"/>
        <w:left w:val="none" w:sz="0" w:space="0" w:color="auto"/>
        <w:bottom w:val="none" w:sz="0" w:space="0" w:color="auto"/>
        <w:right w:val="none" w:sz="0" w:space="0" w:color="auto"/>
      </w:divBdr>
    </w:div>
    <w:div w:id="2053651218">
      <w:bodyDiv w:val="1"/>
      <w:marLeft w:val="0"/>
      <w:marRight w:val="0"/>
      <w:marTop w:val="0"/>
      <w:marBottom w:val="0"/>
      <w:divBdr>
        <w:top w:val="none" w:sz="0" w:space="0" w:color="auto"/>
        <w:left w:val="none" w:sz="0" w:space="0" w:color="auto"/>
        <w:bottom w:val="none" w:sz="0" w:space="0" w:color="auto"/>
        <w:right w:val="none" w:sz="0" w:space="0" w:color="auto"/>
      </w:divBdr>
    </w:div>
    <w:div w:id="2058384279">
      <w:bodyDiv w:val="1"/>
      <w:marLeft w:val="0"/>
      <w:marRight w:val="0"/>
      <w:marTop w:val="0"/>
      <w:marBottom w:val="0"/>
      <w:divBdr>
        <w:top w:val="none" w:sz="0" w:space="0" w:color="auto"/>
        <w:left w:val="none" w:sz="0" w:space="0" w:color="auto"/>
        <w:bottom w:val="none" w:sz="0" w:space="0" w:color="auto"/>
        <w:right w:val="none" w:sz="0" w:space="0" w:color="auto"/>
      </w:divBdr>
    </w:div>
    <w:div w:id="2059355540">
      <w:bodyDiv w:val="1"/>
      <w:marLeft w:val="0"/>
      <w:marRight w:val="0"/>
      <w:marTop w:val="0"/>
      <w:marBottom w:val="0"/>
      <w:divBdr>
        <w:top w:val="none" w:sz="0" w:space="0" w:color="auto"/>
        <w:left w:val="none" w:sz="0" w:space="0" w:color="auto"/>
        <w:bottom w:val="none" w:sz="0" w:space="0" w:color="auto"/>
        <w:right w:val="none" w:sz="0" w:space="0" w:color="auto"/>
      </w:divBdr>
    </w:div>
    <w:div w:id="2059818702">
      <w:bodyDiv w:val="1"/>
      <w:marLeft w:val="0"/>
      <w:marRight w:val="0"/>
      <w:marTop w:val="0"/>
      <w:marBottom w:val="0"/>
      <w:divBdr>
        <w:top w:val="none" w:sz="0" w:space="0" w:color="auto"/>
        <w:left w:val="none" w:sz="0" w:space="0" w:color="auto"/>
        <w:bottom w:val="none" w:sz="0" w:space="0" w:color="auto"/>
        <w:right w:val="none" w:sz="0" w:space="0" w:color="auto"/>
      </w:divBdr>
    </w:div>
    <w:div w:id="2073963877">
      <w:bodyDiv w:val="1"/>
      <w:marLeft w:val="0"/>
      <w:marRight w:val="0"/>
      <w:marTop w:val="0"/>
      <w:marBottom w:val="0"/>
      <w:divBdr>
        <w:top w:val="none" w:sz="0" w:space="0" w:color="auto"/>
        <w:left w:val="none" w:sz="0" w:space="0" w:color="auto"/>
        <w:bottom w:val="none" w:sz="0" w:space="0" w:color="auto"/>
        <w:right w:val="none" w:sz="0" w:space="0" w:color="auto"/>
      </w:divBdr>
    </w:div>
    <w:div w:id="2100977841">
      <w:bodyDiv w:val="1"/>
      <w:marLeft w:val="0"/>
      <w:marRight w:val="0"/>
      <w:marTop w:val="0"/>
      <w:marBottom w:val="0"/>
      <w:divBdr>
        <w:top w:val="none" w:sz="0" w:space="0" w:color="auto"/>
        <w:left w:val="none" w:sz="0" w:space="0" w:color="auto"/>
        <w:bottom w:val="none" w:sz="0" w:space="0" w:color="auto"/>
        <w:right w:val="none" w:sz="0" w:space="0" w:color="auto"/>
      </w:divBdr>
    </w:div>
    <w:div w:id="21091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file:///\\nebula2.washington.edu\uw\groups\fin-mgmt\fm-all\FM%20Dashboard%20Central%20%20Files\Fin%20Acctng\Historical%20FA%20Dashboards\Annual%20Report%20Completion%20-%20REVISED.xlsx!Chart!%5bAnnual%20Report%20Completion%20-%20REVISED.xlsx%5dChart%20Chart%201-1" TargetMode="External"/><Relationship Id="rId18" Type="http://schemas.openxmlformats.org/officeDocument/2006/relationships/image" Target="media/image5.emf"/><Relationship Id="rId26" Type="http://schemas.openxmlformats.org/officeDocument/2006/relationships/oleObject" Target="file:///\\nebula2.washington.edu\uw\groups\fin-mgmt\fm-all\FM%20Dashboard%20Central%20%20Files\Fin%20Acctng\Historical%20FA%20Dashboards\Agency%20accounts%20-%20budgets%20with%20debit%20balances.xls!All%20other%20deficits!%5bAgency%20accounts%20-%20budgets%20with%20debit%20balances.xls%5dAll%20other%20deficits%20Chart%208" TargetMode="External"/><Relationship Id="rId3" Type="http://schemas.openxmlformats.org/officeDocument/2006/relationships/styles" Target="styles.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file:///\\nebula2.washington.edu\uw\groups\fin-mgmt\fm-all\FM%20Dashboard%20Central%20%20Files\Fin%20Acctng\Historical%20FA%20Dashboards\Delinquent%20ISDs-CTIs.xlsx!Charts!%5bDelinquent%20ISDs-CTIs.xlsx%5dCharts%20Chart%201"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file:///\\nebula2.washington.edu\uw\groups\fin-mgmt\fm-all\FM%20Dashboard%20Central%20%20Files\Fin%20Acctng\Historical%20FA%20Dashboards\Financial%20Accounting%20Effectiveness.xlsx!Chart%20Tom%202!%5bFinancial%20Accounting%20Effectiveness.xlsx%5dChart%20Tom%202%20Chart%202" TargetMode="External"/><Relationship Id="rId28"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oleObject" Target="file:///\\nebula2.washington.edu\uw\groups\fin-mgmt\fm-all\FM%20Dashboard%20Central%20%20Files\Fin%20Acctng\Historical%20FA%20Dashboards\Delinquent%20ISDs-CTIs.xlsx!Charts!%5bDelinquent%20ISDs-CTIs.xlsx%5dCharts%20Chart%20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84D6-3A91-497D-AE9F-3BEDFD3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1625</Words>
  <Characters>8907</Characters>
  <Application>Microsoft Office Word</Application>
  <DocSecurity>6</DocSecurity>
  <Lines>594</Lines>
  <Paragraphs>170</Paragraphs>
  <ScaleCrop>false</ScaleCrop>
  <HeadingPairs>
    <vt:vector size="2" baseType="variant">
      <vt:variant>
        <vt:lpstr>Title</vt:lpstr>
      </vt:variant>
      <vt:variant>
        <vt:i4>1</vt:i4>
      </vt:variant>
    </vt:vector>
  </HeadingPairs>
  <TitlesOfParts>
    <vt:vector size="1" baseType="lpstr">
      <vt:lpstr>Pay Bills</vt:lpstr>
    </vt:vector>
  </TitlesOfParts>
  <Company>University of Washington</Company>
  <LinksUpToDate>false</LinksUpToDate>
  <CharactersWithSpaces>10477</CharactersWithSpaces>
  <SharedDoc>false</SharedDoc>
  <HLinks>
    <vt:vector size="12" baseType="variant">
      <vt:variant>
        <vt:i4>1114141</vt:i4>
      </vt:variant>
      <vt:variant>
        <vt:i4>11</vt:i4>
      </vt:variant>
      <vt:variant>
        <vt:i4>0</vt:i4>
      </vt:variant>
      <vt:variant>
        <vt:i4>5</vt:i4>
      </vt:variant>
      <vt:variant>
        <vt:lpwstr>http://www.washington.edu/admin/ap/office/fsdashboard.pdf</vt:lpwstr>
      </vt:variant>
      <vt:variant>
        <vt:lpwstr/>
      </vt:variant>
      <vt:variant>
        <vt:i4>4784163</vt:i4>
      </vt:variant>
      <vt:variant>
        <vt:i4>8</vt:i4>
      </vt:variant>
      <vt:variant>
        <vt:i4>0</vt:i4>
      </vt:variant>
      <vt:variant>
        <vt:i4>5</vt:i4>
      </vt:variant>
      <vt:variant>
        <vt:lpwstr>mailto:tomph@u.washington.edu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Bills</dc:title>
  <dc:creator>kater</dc:creator>
  <cp:lastModifiedBy>Lori Hobson</cp:lastModifiedBy>
  <cp:revision>3</cp:revision>
  <cp:lastPrinted>2012-02-16T19:51:00Z</cp:lastPrinted>
  <dcterms:created xsi:type="dcterms:W3CDTF">2012-04-23T16:07:00Z</dcterms:created>
  <dcterms:modified xsi:type="dcterms:W3CDTF">2012-04-23T16:22:00Z</dcterms:modified>
</cp:coreProperties>
</file>