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3592" w14:textId="300E9074" w:rsidR="00C57B2B" w:rsidRPr="00090EAC" w:rsidRDefault="00C57B2B" w:rsidP="1CE55F61">
      <w:pPr>
        <w:spacing w:after="0" w:line="240" w:lineRule="auto"/>
        <w:contextualSpacing/>
        <w:rPr>
          <w:b/>
          <w:bCs/>
        </w:rPr>
      </w:pPr>
      <w:r w:rsidRPr="1CE55F61">
        <w:rPr>
          <w:b/>
          <w:bCs/>
        </w:rPr>
        <w:t>Subject:</w:t>
      </w:r>
      <w:r>
        <w:tab/>
      </w:r>
      <w:r w:rsidRPr="1CE55F61">
        <w:rPr>
          <w:b/>
          <w:bCs/>
        </w:rPr>
        <w:t>Published Price vs. Net Price in Higher Education</w:t>
      </w:r>
      <w:r w:rsidR="00195643" w:rsidRPr="1CE55F61">
        <w:rPr>
          <w:b/>
          <w:bCs/>
        </w:rPr>
        <w:t xml:space="preserve"> – 202</w:t>
      </w:r>
      <w:r w:rsidR="004442DA">
        <w:rPr>
          <w:b/>
          <w:bCs/>
        </w:rPr>
        <w:t>6</w:t>
      </w:r>
      <w:r w:rsidR="00195643" w:rsidRPr="1CE55F61">
        <w:rPr>
          <w:b/>
          <w:bCs/>
        </w:rPr>
        <w:t xml:space="preserve"> Update</w:t>
      </w:r>
    </w:p>
    <w:p w14:paraId="5C7E1521" w14:textId="77777777" w:rsidR="006E0839" w:rsidRPr="00090EAC" w:rsidRDefault="006E0839" w:rsidP="006E0839">
      <w:pPr>
        <w:spacing w:after="0" w:line="240" w:lineRule="auto"/>
        <w:contextualSpacing/>
        <w:rPr>
          <w:rFonts w:cstheme="minorHAnsi"/>
          <w:color w:val="B2A1C7" w:themeColor="accent4" w:themeTint="99"/>
          <w:sz w:val="16"/>
          <w:szCs w:val="16"/>
        </w:rPr>
      </w:pPr>
    </w:p>
    <w:p w14:paraId="4FD6F9EE" w14:textId="65C2D2D1" w:rsidR="00C57B2B" w:rsidRPr="004024C4" w:rsidRDefault="5E4F436B" w:rsidP="1CE55F61">
      <w:pPr>
        <w:spacing w:after="0" w:line="240" w:lineRule="auto"/>
        <w:contextualSpacing/>
        <w:rPr>
          <w:rFonts w:eastAsia="Times New Roman"/>
          <w:b/>
          <w:bCs/>
        </w:rPr>
      </w:pPr>
      <w:r w:rsidRPr="1CE55F61">
        <w:rPr>
          <w:rFonts w:eastAsia="Times New Roman"/>
        </w:rPr>
        <w:t xml:space="preserve">Published college prices—which include tuition, fees, </w:t>
      </w:r>
      <w:r w:rsidR="0C572470" w:rsidRPr="1CE55F61">
        <w:rPr>
          <w:rFonts w:eastAsia="Times New Roman"/>
        </w:rPr>
        <w:t>housing</w:t>
      </w:r>
      <w:r w:rsidR="21BE2318" w:rsidRPr="1CE55F61">
        <w:rPr>
          <w:rFonts w:eastAsia="Times New Roman"/>
        </w:rPr>
        <w:t>,</w:t>
      </w:r>
      <w:r w:rsidRPr="1CE55F61">
        <w:rPr>
          <w:rFonts w:eastAsia="Times New Roman"/>
        </w:rPr>
        <w:t xml:space="preserve"> and </w:t>
      </w:r>
      <w:r w:rsidR="0C572470" w:rsidRPr="1CE55F61">
        <w:rPr>
          <w:rFonts w:eastAsia="Times New Roman"/>
        </w:rPr>
        <w:t xml:space="preserve">food </w:t>
      </w:r>
      <w:r w:rsidRPr="1CE55F61">
        <w:rPr>
          <w:rFonts w:eastAsia="Times New Roman"/>
        </w:rPr>
        <w:t>(</w:t>
      </w:r>
      <w:r w:rsidR="59186A49" w:rsidRPr="1CE55F61">
        <w:rPr>
          <w:rFonts w:eastAsia="Times New Roman"/>
        </w:rPr>
        <w:t>TFHF</w:t>
      </w:r>
      <w:r w:rsidRPr="1CE55F61">
        <w:rPr>
          <w:rFonts w:eastAsia="Times New Roman"/>
        </w:rPr>
        <w:t xml:space="preserve">)—have </w:t>
      </w:r>
      <w:r w:rsidR="5600A00D" w:rsidRPr="1CE55F61">
        <w:rPr>
          <w:rFonts w:eastAsia="Times New Roman"/>
        </w:rPr>
        <w:t>increased dramatically</w:t>
      </w:r>
      <w:r w:rsidRPr="1CE55F61">
        <w:rPr>
          <w:rFonts w:eastAsia="Times New Roman"/>
        </w:rPr>
        <w:t xml:space="preserve"> over the past two decades. </w:t>
      </w:r>
      <w:r w:rsidR="067FF2B0" w:rsidRPr="1CE55F61">
        <w:rPr>
          <w:rFonts w:eastAsia="Times New Roman"/>
        </w:rPr>
        <w:t xml:space="preserve">However, </w:t>
      </w:r>
      <w:r w:rsidR="067FF2B0" w:rsidRPr="364BA296">
        <w:rPr>
          <w:rFonts w:eastAsia="Times New Roman"/>
          <w:b/>
          <w:bCs/>
          <w:i/>
          <w:iCs/>
        </w:rPr>
        <w:t>n</w:t>
      </w:r>
      <w:r w:rsidRPr="364BA296">
        <w:rPr>
          <w:rFonts w:eastAsia="Times New Roman"/>
          <w:b/>
          <w:bCs/>
          <w:i/>
          <w:iCs/>
        </w:rPr>
        <w:t>et</w:t>
      </w:r>
      <w:r w:rsidRPr="1CE55F61">
        <w:rPr>
          <w:rFonts w:eastAsia="Times New Roman"/>
          <w:b/>
          <w:bCs/>
        </w:rPr>
        <w:t xml:space="preserve"> prices</w:t>
      </w:r>
      <w:r w:rsidR="00F9271F" w:rsidRPr="1CE55F61">
        <w:rPr>
          <w:rStyle w:val="FootnoteReference"/>
          <w:rFonts w:eastAsia="Times New Roman"/>
          <w:b/>
          <w:bCs/>
        </w:rPr>
        <w:footnoteReference w:id="2"/>
      </w:r>
      <w:r w:rsidRPr="1CE55F61">
        <w:rPr>
          <w:rFonts w:eastAsia="Times New Roman"/>
        </w:rPr>
        <w:t>—</w:t>
      </w:r>
      <w:r w:rsidR="5A412CB7" w:rsidRPr="1CE55F61">
        <w:rPr>
          <w:rFonts w:eastAsia="Times New Roman"/>
        </w:rPr>
        <w:t xml:space="preserve">TFHF </w:t>
      </w:r>
      <w:r w:rsidRPr="1CE55F61">
        <w:rPr>
          <w:rFonts w:eastAsia="Times New Roman"/>
        </w:rPr>
        <w:t>minus grant and scholarship aid from federal, state</w:t>
      </w:r>
      <w:r w:rsidR="31931297" w:rsidRPr="1CE55F61">
        <w:rPr>
          <w:rFonts w:eastAsia="Times New Roman"/>
        </w:rPr>
        <w:t>,</w:t>
      </w:r>
      <w:r w:rsidRPr="1CE55F61">
        <w:rPr>
          <w:rFonts w:eastAsia="Times New Roman"/>
        </w:rPr>
        <w:t xml:space="preserve"> or institutional sources—</w:t>
      </w:r>
      <w:r w:rsidRPr="1CE55F61">
        <w:rPr>
          <w:rFonts w:eastAsia="Times New Roman"/>
          <w:b/>
          <w:bCs/>
        </w:rPr>
        <w:t xml:space="preserve">have increased at a </w:t>
      </w:r>
      <w:r w:rsidR="56CA276E" w:rsidRPr="1CE55F61">
        <w:rPr>
          <w:rFonts w:eastAsia="Times New Roman"/>
          <w:b/>
          <w:bCs/>
        </w:rPr>
        <w:t>much slower</w:t>
      </w:r>
      <w:r w:rsidRPr="1CE55F61">
        <w:rPr>
          <w:rFonts w:eastAsia="Times New Roman"/>
          <w:b/>
          <w:bCs/>
        </w:rPr>
        <w:t xml:space="preserve"> rate</w:t>
      </w:r>
      <w:r w:rsidR="58C2C495" w:rsidRPr="1CE55F61">
        <w:rPr>
          <w:rFonts w:eastAsia="Times New Roman"/>
          <w:b/>
          <w:bCs/>
        </w:rPr>
        <w:t xml:space="preserve"> </w:t>
      </w:r>
      <w:r w:rsidR="58C2C495" w:rsidRPr="1CE55F61">
        <w:rPr>
          <w:rFonts w:eastAsia="Times New Roman"/>
        </w:rPr>
        <w:t xml:space="preserve">over that same </w:t>
      </w:r>
      <w:r w:rsidR="635ECD66" w:rsidRPr="1CE55F61">
        <w:rPr>
          <w:rFonts w:eastAsia="Times New Roman"/>
        </w:rPr>
        <w:t>period</w:t>
      </w:r>
      <w:r w:rsidR="6CBB1584" w:rsidRPr="1CE55F61">
        <w:rPr>
          <w:rFonts w:eastAsia="Times New Roman"/>
        </w:rPr>
        <w:t xml:space="preserve"> and have </w:t>
      </w:r>
      <w:r w:rsidR="53F84114" w:rsidRPr="1CE55F61">
        <w:rPr>
          <w:rFonts w:eastAsia="Times New Roman"/>
        </w:rPr>
        <w:t xml:space="preserve">largely declined </w:t>
      </w:r>
      <w:r w:rsidR="6CE07B06" w:rsidRPr="1CE55F61">
        <w:rPr>
          <w:rFonts w:eastAsia="Times New Roman"/>
        </w:rPr>
        <w:t>(after adjusting for inflation)</w:t>
      </w:r>
      <w:r w:rsidR="670B84C4" w:rsidRPr="1CE55F61">
        <w:rPr>
          <w:rFonts w:eastAsia="Times New Roman"/>
        </w:rPr>
        <w:t xml:space="preserve"> </w:t>
      </w:r>
      <w:r w:rsidR="3F296F01" w:rsidRPr="1CE55F61">
        <w:rPr>
          <w:rFonts w:eastAsia="Times New Roman"/>
        </w:rPr>
        <w:t>since 2016-17</w:t>
      </w:r>
      <w:r w:rsidR="68EFFBCA" w:rsidRPr="1CE55F61">
        <w:rPr>
          <w:rFonts w:eastAsia="Times New Roman"/>
        </w:rPr>
        <w:t>.</w:t>
      </w:r>
    </w:p>
    <w:p w14:paraId="2CDFF7F9" w14:textId="77777777" w:rsidR="006E0839" w:rsidRPr="004024C4" w:rsidRDefault="006E0839" w:rsidP="006E0839">
      <w:pPr>
        <w:spacing w:after="0" w:line="240" w:lineRule="auto"/>
        <w:contextualSpacing/>
        <w:rPr>
          <w:rFonts w:eastAsia="Times New Roman" w:cstheme="minorHAnsi"/>
          <w:b/>
          <w:iCs/>
          <w:sz w:val="16"/>
          <w:szCs w:val="16"/>
        </w:rPr>
      </w:pPr>
    </w:p>
    <w:p w14:paraId="7BC61AF1" w14:textId="53337E02" w:rsidR="00C04805" w:rsidRPr="004024C4" w:rsidRDefault="00580AFC" w:rsidP="1CE55F61">
      <w:pPr>
        <w:spacing w:after="160" w:line="259" w:lineRule="auto"/>
        <w:rPr>
          <w:rFonts w:eastAsia="Times New Roman"/>
        </w:rPr>
      </w:pPr>
      <w:r w:rsidRPr="1CE55F61">
        <w:rPr>
          <w:rFonts w:eastAsia="Times New Roman"/>
        </w:rPr>
        <w:t>As seen in Figure 1 (below</w:t>
      </w:r>
      <w:r w:rsidR="00564E35" w:rsidRPr="1CE55F61">
        <w:rPr>
          <w:rFonts w:eastAsia="Times New Roman"/>
        </w:rPr>
        <w:t>)</w:t>
      </w:r>
      <w:r w:rsidR="006265B2" w:rsidRPr="1CE55F61">
        <w:rPr>
          <w:rFonts w:eastAsia="Times New Roman"/>
        </w:rPr>
        <w:t>, b</w:t>
      </w:r>
      <w:r w:rsidR="00C57B2B" w:rsidRPr="1CE55F61">
        <w:rPr>
          <w:rFonts w:eastAsia="Times New Roman"/>
        </w:rPr>
        <w:t xml:space="preserve">etween </w:t>
      </w:r>
      <w:r w:rsidR="00AF713D" w:rsidRPr="1CE55F61">
        <w:rPr>
          <w:rFonts w:eastAsia="Times New Roman"/>
        </w:rPr>
        <w:t>2006</w:t>
      </w:r>
      <w:r w:rsidR="0082728F" w:rsidRPr="1CE55F61">
        <w:rPr>
          <w:rFonts w:eastAsia="Times New Roman"/>
        </w:rPr>
        <w:t xml:space="preserve">-07 and </w:t>
      </w:r>
      <w:r w:rsidR="006D5DEB" w:rsidRPr="1CE55F61">
        <w:rPr>
          <w:rFonts w:eastAsia="Times New Roman"/>
        </w:rPr>
        <w:t>202</w:t>
      </w:r>
      <w:r w:rsidR="00DC527C">
        <w:rPr>
          <w:rFonts w:eastAsia="Times New Roman"/>
        </w:rPr>
        <w:t>5</w:t>
      </w:r>
      <w:r w:rsidR="0082728F" w:rsidRPr="1CE55F61">
        <w:rPr>
          <w:rFonts w:eastAsia="Times New Roman"/>
        </w:rPr>
        <w:t>-2</w:t>
      </w:r>
      <w:r w:rsidR="00DC527C">
        <w:rPr>
          <w:rFonts w:eastAsia="Times New Roman"/>
        </w:rPr>
        <w:t>6</w:t>
      </w:r>
      <w:r w:rsidR="00C57B2B" w:rsidRPr="1CE55F61">
        <w:rPr>
          <w:rFonts w:eastAsia="Times New Roman"/>
        </w:rPr>
        <w:t xml:space="preserve">, </w:t>
      </w:r>
      <w:r w:rsidR="00C57B2B" w:rsidRPr="1CE55F61">
        <w:rPr>
          <w:rFonts w:eastAsia="Times New Roman"/>
          <w:i/>
          <w:iCs/>
        </w:rPr>
        <w:t>published</w:t>
      </w:r>
      <w:r w:rsidR="00C57B2B" w:rsidRPr="1CE55F61">
        <w:rPr>
          <w:rFonts w:eastAsia="Times New Roman"/>
        </w:rPr>
        <w:t xml:space="preserve"> prices for </w:t>
      </w:r>
      <w:r w:rsidR="00C57B2B" w:rsidRPr="1CE55F61">
        <w:t>resident students</w:t>
      </w:r>
      <w:r w:rsidR="00C57B2B" w:rsidRPr="1CE55F61">
        <w:rPr>
          <w:rFonts w:eastAsia="Times New Roman"/>
        </w:rPr>
        <w:t xml:space="preserve"> rose an average of </w:t>
      </w:r>
      <w:r w:rsidR="00994238" w:rsidRPr="1CE55F61">
        <w:rPr>
          <w:rFonts w:eastAsia="Times New Roman"/>
        </w:rPr>
        <w:t>2</w:t>
      </w:r>
      <w:r w:rsidR="00D2285B">
        <w:rPr>
          <w:rFonts w:eastAsia="Times New Roman"/>
        </w:rPr>
        <w:t>6</w:t>
      </w:r>
      <w:r w:rsidR="00994238" w:rsidRPr="1CE55F61">
        <w:rPr>
          <w:rFonts w:eastAsia="Times New Roman"/>
        </w:rPr>
        <w:t xml:space="preserve"> </w:t>
      </w:r>
      <w:r w:rsidR="009434AA" w:rsidRPr="1CE55F61">
        <w:rPr>
          <w:rFonts w:eastAsia="Times New Roman"/>
        </w:rPr>
        <w:t>percent</w:t>
      </w:r>
      <w:r w:rsidR="00C57B2B" w:rsidRPr="1CE55F61">
        <w:rPr>
          <w:rFonts w:eastAsia="Times New Roman"/>
        </w:rPr>
        <w:t xml:space="preserve"> at </w:t>
      </w:r>
      <w:r w:rsidR="00D51703" w:rsidRPr="1CE55F61">
        <w:t>public four-year institutions</w:t>
      </w:r>
      <w:r w:rsidR="00604D2F" w:rsidRPr="1CE55F61">
        <w:rPr>
          <w:rFonts w:eastAsia="Times New Roman"/>
        </w:rPr>
        <w:t xml:space="preserve"> (going from </w:t>
      </w:r>
      <w:r w:rsidR="0082728F" w:rsidRPr="1CE55F61">
        <w:rPr>
          <w:rFonts w:eastAsia="Times New Roman"/>
        </w:rPr>
        <w:t>$</w:t>
      </w:r>
      <w:r w:rsidR="00C5642C">
        <w:rPr>
          <w:rFonts w:eastAsia="Times New Roman"/>
        </w:rPr>
        <w:t>20</w:t>
      </w:r>
      <w:r w:rsidR="00FC7ADE">
        <w:rPr>
          <w:rFonts w:eastAsia="Times New Roman"/>
        </w:rPr>
        <w:t>,</w:t>
      </w:r>
      <w:r w:rsidR="007B3463">
        <w:rPr>
          <w:rFonts w:eastAsia="Times New Roman"/>
        </w:rPr>
        <w:t>5</w:t>
      </w:r>
      <w:r w:rsidR="00C5642C">
        <w:rPr>
          <w:rFonts w:eastAsia="Times New Roman"/>
        </w:rPr>
        <w:t>10</w:t>
      </w:r>
      <w:r w:rsidR="0082728F" w:rsidRPr="1CE55F61">
        <w:rPr>
          <w:rFonts w:eastAsia="Times New Roman"/>
        </w:rPr>
        <w:t xml:space="preserve"> </w:t>
      </w:r>
      <w:r w:rsidR="00604D2F" w:rsidRPr="1CE55F61">
        <w:rPr>
          <w:rFonts w:eastAsia="Times New Roman"/>
        </w:rPr>
        <w:t xml:space="preserve">to </w:t>
      </w:r>
      <w:r w:rsidR="002B6A81" w:rsidRPr="1CE55F61">
        <w:rPr>
          <w:rFonts w:eastAsia="Times New Roman"/>
        </w:rPr>
        <w:t>$</w:t>
      </w:r>
      <w:r w:rsidR="00F740FB" w:rsidRPr="1CE55F61">
        <w:rPr>
          <w:rFonts w:eastAsia="Times New Roman"/>
        </w:rPr>
        <w:t>2</w:t>
      </w:r>
      <w:r w:rsidR="007B3463">
        <w:rPr>
          <w:rFonts w:eastAsia="Times New Roman"/>
        </w:rPr>
        <w:t>5</w:t>
      </w:r>
      <w:r w:rsidR="1E8CEACC" w:rsidRPr="1CE55F61">
        <w:rPr>
          <w:rFonts w:eastAsia="Times New Roman"/>
        </w:rPr>
        <w:t>,</w:t>
      </w:r>
      <w:r w:rsidR="007B3463">
        <w:rPr>
          <w:rFonts w:eastAsia="Times New Roman"/>
        </w:rPr>
        <w:t>850</w:t>
      </w:r>
      <w:r w:rsidR="00C57B2B" w:rsidRPr="1CE55F61">
        <w:rPr>
          <w:rFonts w:eastAsia="Times New Roman"/>
        </w:rPr>
        <w:t xml:space="preserve">), </w:t>
      </w:r>
      <w:r w:rsidR="005A2BD1" w:rsidRPr="1CE55F61">
        <w:rPr>
          <w:rFonts w:eastAsia="Times New Roman"/>
        </w:rPr>
        <w:t xml:space="preserve">whereas </w:t>
      </w:r>
      <w:r w:rsidR="005A2BD1" w:rsidRPr="1CE55F61">
        <w:rPr>
          <w:i/>
          <w:iCs/>
        </w:rPr>
        <w:t>net</w:t>
      </w:r>
      <w:r w:rsidR="005A2BD1" w:rsidRPr="1CE55F61">
        <w:t xml:space="preserve"> </w:t>
      </w:r>
      <w:r w:rsidR="005A2BD1" w:rsidRPr="1CE55F61">
        <w:rPr>
          <w:rFonts w:eastAsia="Times New Roman"/>
        </w:rPr>
        <w:t>prices</w:t>
      </w:r>
      <w:r w:rsidR="005A2BD1" w:rsidRPr="1CE55F61">
        <w:t xml:space="preserve"> for residents at public four-year institutions rose </w:t>
      </w:r>
      <w:r w:rsidR="005A2BD1" w:rsidRPr="1CE55F61">
        <w:rPr>
          <w:rFonts w:eastAsia="Times New Roman"/>
        </w:rPr>
        <w:t xml:space="preserve">an average of </w:t>
      </w:r>
      <w:r w:rsidR="5CDF95E3" w:rsidRPr="1CE55F61">
        <w:rPr>
          <w:rFonts w:eastAsia="Times New Roman"/>
        </w:rPr>
        <w:t>6</w:t>
      </w:r>
      <w:r w:rsidR="00F740FB" w:rsidRPr="1CE55F61">
        <w:rPr>
          <w:rFonts w:eastAsia="Times New Roman"/>
        </w:rPr>
        <w:t xml:space="preserve"> </w:t>
      </w:r>
      <w:r w:rsidR="00604D2F" w:rsidRPr="1CE55F61">
        <w:rPr>
          <w:rFonts w:eastAsia="Times New Roman"/>
        </w:rPr>
        <w:t xml:space="preserve">percent (going from </w:t>
      </w:r>
      <w:r w:rsidR="000B0710" w:rsidRPr="1CE55F61">
        <w:rPr>
          <w:rFonts w:eastAsia="Times New Roman"/>
        </w:rPr>
        <w:t>$</w:t>
      </w:r>
      <w:r w:rsidR="00F740FB" w:rsidRPr="1CE55F61">
        <w:rPr>
          <w:rFonts w:eastAsia="Times New Roman"/>
        </w:rPr>
        <w:t>1</w:t>
      </w:r>
      <w:r w:rsidR="007B3463">
        <w:rPr>
          <w:rFonts w:eastAsia="Times New Roman"/>
        </w:rPr>
        <w:t>5,280</w:t>
      </w:r>
      <w:r w:rsidR="00F740FB" w:rsidRPr="1CE55F61">
        <w:rPr>
          <w:rFonts w:eastAsia="Times New Roman"/>
        </w:rPr>
        <w:t xml:space="preserve"> </w:t>
      </w:r>
      <w:r w:rsidR="00604D2F" w:rsidRPr="1CE55F61">
        <w:rPr>
          <w:rFonts w:eastAsia="Times New Roman"/>
        </w:rPr>
        <w:t xml:space="preserve">to </w:t>
      </w:r>
      <w:r w:rsidR="002B6A81" w:rsidRPr="1CE55F61">
        <w:rPr>
          <w:rFonts w:eastAsia="Times New Roman"/>
        </w:rPr>
        <w:t>$</w:t>
      </w:r>
      <w:r w:rsidR="007B3463">
        <w:rPr>
          <w:rFonts w:eastAsia="Times New Roman"/>
        </w:rPr>
        <w:t>16,200</w:t>
      </w:r>
      <w:r w:rsidR="005A2BD1" w:rsidRPr="1CE55F61">
        <w:rPr>
          <w:rFonts w:eastAsia="Times New Roman"/>
        </w:rPr>
        <w:t xml:space="preserve">). This difference </w:t>
      </w:r>
      <w:r w:rsidR="00CE5392" w:rsidRPr="1CE55F61">
        <w:rPr>
          <w:rFonts w:eastAsia="Times New Roman"/>
        </w:rPr>
        <w:t>can be attributed to</w:t>
      </w:r>
      <w:r w:rsidR="005A2BD1" w:rsidRPr="1CE55F61">
        <w:rPr>
          <w:rFonts w:eastAsia="Times New Roman"/>
        </w:rPr>
        <w:t xml:space="preserve"> federal, state, and institutional aid. </w:t>
      </w:r>
    </w:p>
    <w:p w14:paraId="057DDBEA" w14:textId="35DF1483" w:rsidR="00A74282" w:rsidRPr="00090EAC" w:rsidRDefault="00794642" w:rsidP="1CE55F61">
      <w:pPr>
        <w:pStyle w:val="NoSpacing"/>
        <w:rPr>
          <w:sz w:val="16"/>
          <w:szCs w:val="16"/>
        </w:rPr>
      </w:pPr>
      <w:r>
        <w:rPr>
          <w:noProof/>
        </w:rPr>
        <w:drawing>
          <wp:inline distT="0" distB="0" distL="0" distR="0" wp14:anchorId="4A22AEF2" wp14:editId="7E4E7BA5">
            <wp:extent cx="6391275" cy="5153025"/>
            <wp:effectExtent l="0" t="0" r="9525" b="9525"/>
            <wp:docPr id="792624218" name="Chart 1">
              <a:extLst xmlns:a="http://schemas.openxmlformats.org/drawingml/2006/main">
                <a:ext uri="{FF2B5EF4-FFF2-40B4-BE49-F238E27FC236}">
                  <a16:creationId xmlns:a16="http://schemas.microsoft.com/office/drawing/2014/main" id="{5C15EBF0-8CB6-4D0D-84E0-C2E10AF818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DD0888" w14:textId="5D90E5CC" w:rsidR="00A74282" w:rsidRPr="00090EAC" w:rsidRDefault="008E6DD3" w:rsidP="1CE55F61">
      <w:pPr>
        <w:spacing w:after="160" w:line="259" w:lineRule="auto"/>
        <w:contextualSpacing/>
        <w:rPr>
          <w:sz w:val="16"/>
          <w:szCs w:val="16"/>
        </w:rPr>
      </w:pPr>
      <w:r w:rsidRPr="1CE55F61">
        <w:rPr>
          <w:sz w:val="16"/>
          <w:szCs w:val="16"/>
        </w:rPr>
        <w:t xml:space="preserve">(Source: Figure </w:t>
      </w:r>
      <w:r w:rsidR="004423D5" w:rsidRPr="1CE55F61">
        <w:rPr>
          <w:sz w:val="16"/>
          <w:szCs w:val="16"/>
        </w:rPr>
        <w:t>9</w:t>
      </w:r>
      <w:r w:rsidRPr="1CE55F61">
        <w:rPr>
          <w:sz w:val="16"/>
          <w:szCs w:val="16"/>
        </w:rPr>
        <w:t xml:space="preserve"> data. The College Board, </w:t>
      </w:r>
      <w:hyperlink r:id="rId12">
        <w:r w:rsidR="00333681">
          <w:rPr>
            <w:rStyle w:val="Hyperlink"/>
            <w:sz w:val="16"/>
            <w:szCs w:val="16"/>
          </w:rPr>
          <w:t>Trends in College Pricing and Student Aid 2025</w:t>
        </w:r>
      </w:hyperlink>
      <w:r w:rsidR="00E17B73" w:rsidRPr="1CE55F61">
        <w:rPr>
          <w:sz w:val="16"/>
          <w:szCs w:val="16"/>
        </w:rPr>
        <w:t>, page 18</w:t>
      </w:r>
      <w:r w:rsidR="00A42739" w:rsidRPr="1CE55F61">
        <w:rPr>
          <w:sz w:val="16"/>
          <w:szCs w:val="16"/>
        </w:rPr>
        <w:t>. Average Published and Net Prices</w:t>
      </w:r>
      <w:r w:rsidR="00F01309" w:rsidRPr="1CE55F61">
        <w:rPr>
          <w:sz w:val="16"/>
          <w:szCs w:val="16"/>
        </w:rPr>
        <w:t xml:space="preserve"> are</w:t>
      </w:r>
      <w:r w:rsidR="00A42739" w:rsidRPr="1CE55F61">
        <w:rPr>
          <w:sz w:val="16"/>
          <w:szCs w:val="16"/>
        </w:rPr>
        <w:t xml:space="preserve"> in </w:t>
      </w:r>
      <w:r w:rsidR="00924FE9" w:rsidRPr="1CE55F61">
        <w:rPr>
          <w:sz w:val="16"/>
          <w:szCs w:val="16"/>
        </w:rPr>
        <w:t>202</w:t>
      </w:r>
      <w:r w:rsidR="00BD0955">
        <w:rPr>
          <w:sz w:val="16"/>
          <w:szCs w:val="16"/>
        </w:rPr>
        <w:t>4</w:t>
      </w:r>
      <w:r w:rsidR="00924FE9" w:rsidRPr="1CE55F61">
        <w:rPr>
          <w:sz w:val="16"/>
          <w:szCs w:val="16"/>
        </w:rPr>
        <w:t xml:space="preserve"> </w:t>
      </w:r>
      <w:r w:rsidR="00F01309" w:rsidRPr="1CE55F61">
        <w:rPr>
          <w:sz w:val="16"/>
          <w:szCs w:val="16"/>
        </w:rPr>
        <w:t>d</w:t>
      </w:r>
      <w:r w:rsidR="00A42739" w:rsidRPr="1CE55F61">
        <w:rPr>
          <w:sz w:val="16"/>
          <w:szCs w:val="16"/>
        </w:rPr>
        <w:t>ollars</w:t>
      </w:r>
      <w:r w:rsidR="00F01309" w:rsidRPr="1CE55F61">
        <w:rPr>
          <w:sz w:val="16"/>
          <w:szCs w:val="16"/>
        </w:rPr>
        <w:t>.</w:t>
      </w:r>
      <w:r w:rsidRPr="1CE55F61">
        <w:rPr>
          <w:sz w:val="16"/>
          <w:szCs w:val="16"/>
        </w:rPr>
        <w:t>)</w:t>
      </w:r>
    </w:p>
    <w:p w14:paraId="22593620" w14:textId="77777777" w:rsidR="00C3105B" w:rsidRPr="00090EAC" w:rsidRDefault="00C3105B" w:rsidP="00A74282">
      <w:pPr>
        <w:spacing w:after="0" w:line="240" w:lineRule="auto"/>
        <w:ind w:left="720" w:firstLine="720"/>
        <w:contextualSpacing/>
        <w:rPr>
          <w:rFonts w:cstheme="minorHAnsi"/>
          <w:sz w:val="16"/>
          <w:szCs w:val="16"/>
        </w:rPr>
      </w:pPr>
    </w:p>
    <w:p w14:paraId="7AEA9D57" w14:textId="4FFF9996" w:rsidR="00A74282" w:rsidRPr="00090EAC" w:rsidRDefault="00BB5723" w:rsidP="00DB4D79">
      <w:pPr>
        <w:spacing w:after="160" w:line="259" w:lineRule="auto"/>
        <w:contextualSpacing/>
        <w:rPr>
          <w:rFonts w:cstheme="minorHAnsi"/>
        </w:rPr>
      </w:pPr>
      <w:r w:rsidRPr="004024C4">
        <w:rPr>
          <w:rFonts w:eastAsia="Times New Roman" w:cstheme="minorHAnsi"/>
          <w:iCs/>
        </w:rPr>
        <w:t xml:space="preserve">When </w:t>
      </w:r>
      <w:r w:rsidR="0011016D" w:rsidRPr="004024C4">
        <w:rPr>
          <w:rFonts w:eastAsia="Times New Roman" w:cstheme="minorHAnsi"/>
          <w:iCs/>
        </w:rPr>
        <w:t xml:space="preserve">considering increases </w:t>
      </w:r>
      <w:r w:rsidR="00456026" w:rsidRPr="004024C4">
        <w:rPr>
          <w:rFonts w:eastAsia="Times New Roman" w:cstheme="minorHAnsi"/>
          <w:iCs/>
        </w:rPr>
        <w:t>in</w:t>
      </w:r>
      <w:r w:rsidR="0011016D" w:rsidRPr="004024C4">
        <w:rPr>
          <w:rFonts w:eastAsia="Times New Roman" w:cstheme="minorHAnsi"/>
          <w:iCs/>
        </w:rPr>
        <w:t xml:space="preserve"> net price, it is </w:t>
      </w:r>
      <w:r w:rsidR="00C57B2B" w:rsidRPr="00090EAC">
        <w:rPr>
          <w:rFonts w:cstheme="minorHAnsi"/>
        </w:rPr>
        <w:t xml:space="preserve">worth keeping two things in mind: </w:t>
      </w:r>
    </w:p>
    <w:p w14:paraId="52C0AC73" w14:textId="236EE97B" w:rsidR="00A74282" w:rsidRPr="00090EAC" w:rsidRDefault="00C57B2B" w:rsidP="00DB4D79">
      <w:pPr>
        <w:pStyle w:val="ListParagraph"/>
        <w:widowControl w:val="0"/>
        <w:numPr>
          <w:ilvl w:val="0"/>
          <w:numId w:val="1"/>
        </w:numPr>
        <w:autoSpaceDE w:val="0"/>
        <w:autoSpaceDN w:val="0"/>
        <w:adjustRightInd w:val="0"/>
        <w:spacing w:after="160" w:line="259" w:lineRule="auto"/>
        <w:rPr>
          <w:rFonts w:cstheme="minorHAnsi"/>
        </w:rPr>
      </w:pPr>
      <w:r w:rsidRPr="00090EAC">
        <w:rPr>
          <w:rFonts w:cstheme="minorHAnsi"/>
          <w:b/>
          <w:bCs/>
        </w:rPr>
        <w:t xml:space="preserve">The price behavior of higher education bears more similarity to service industries than to goods-producing </w:t>
      </w:r>
      <w:r w:rsidRPr="00090EAC">
        <w:rPr>
          <w:rFonts w:cstheme="minorHAnsi"/>
          <w:b/>
          <w:bCs/>
        </w:rPr>
        <w:lastRenderedPageBreak/>
        <w:t xml:space="preserve">industries. </w:t>
      </w:r>
      <w:r w:rsidRPr="00090EAC">
        <w:rPr>
          <w:rFonts w:cstheme="minorHAnsi"/>
        </w:rPr>
        <w:t>Unlike goods producers, service industries have few opportunities to increase productivity without decreasing quality</w:t>
      </w:r>
      <w:r w:rsidR="00817517" w:rsidRPr="00090EAC">
        <w:rPr>
          <w:rFonts w:cstheme="minorHAnsi"/>
        </w:rPr>
        <w:t xml:space="preserve">. This is </w:t>
      </w:r>
      <w:r w:rsidRPr="00090EAC">
        <w:rPr>
          <w:rFonts w:cstheme="minorHAnsi"/>
        </w:rPr>
        <w:t xml:space="preserve">primarily </w:t>
      </w:r>
      <w:r w:rsidR="00817517" w:rsidRPr="00090EAC">
        <w:rPr>
          <w:rFonts w:cstheme="minorHAnsi"/>
        </w:rPr>
        <w:t xml:space="preserve">due </w:t>
      </w:r>
      <w:r w:rsidRPr="00090EAC">
        <w:rPr>
          <w:rFonts w:cstheme="minorHAnsi"/>
        </w:rPr>
        <w:t xml:space="preserve">to a reliance on expensive, high-skill workers (who comprise over 80 percent of higher education employees) and cutting-edge technology. As a result, higher education prices behave similarly to other personal services offered by </w:t>
      </w:r>
      <w:r w:rsidR="005A3784" w:rsidRPr="00090EAC">
        <w:rPr>
          <w:rFonts w:cstheme="minorHAnsi"/>
        </w:rPr>
        <w:t>highly educated</w:t>
      </w:r>
      <w:r w:rsidRPr="00090EAC">
        <w:rPr>
          <w:rFonts w:cstheme="minorHAnsi"/>
        </w:rPr>
        <w:t xml:space="preserve"> providers. Notably, the cost curves for dentists, lawyers, and physicians essentially </w:t>
      </w:r>
      <w:hyperlink r:id="rId13">
        <w:r w:rsidRPr="00090EAC">
          <w:rPr>
            <w:rStyle w:val="Hyperlink"/>
            <w:rFonts w:cstheme="minorHAnsi"/>
          </w:rPr>
          <w:t>mirror those for higher education</w:t>
        </w:r>
      </w:hyperlink>
      <w:r w:rsidRPr="00090EAC">
        <w:rPr>
          <w:rFonts w:cstheme="minorHAnsi"/>
        </w:rPr>
        <w:t xml:space="preserve">. </w:t>
      </w:r>
    </w:p>
    <w:p w14:paraId="0020E32E" w14:textId="30863A70" w:rsidR="00F30669" w:rsidRDefault="00C57B2B" w:rsidP="1CE55F61">
      <w:pPr>
        <w:pStyle w:val="ListParagraph"/>
        <w:widowControl w:val="0"/>
        <w:numPr>
          <w:ilvl w:val="0"/>
          <w:numId w:val="1"/>
        </w:numPr>
        <w:autoSpaceDE w:val="0"/>
        <w:autoSpaceDN w:val="0"/>
        <w:adjustRightInd w:val="0"/>
        <w:spacing w:after="160" w:line="259" w:lineRule="auto"/>
        <w:rPr>
          <w:noProof/>
        </w:rPr>
      </w:pPr>
      <w:r w:rsidRPr="1CE55F61">
        <w:rPr>
          <w:rFonts w:eastAsia="Times New Roman"/>
          <w:b/>
          <w:bCs/>
        </w:rPr>
        <w:t>Tuition increases at public institutions are due, in large part, to a decades-long trend of state budget cuts</w:t>
      </w:r>
      <w:r w:rsidRPr="1CE55F61">
        <w:t xml:space="preserve">. Like many other state institutions, the UW has endured numerous state funding cuts in past biennia. Consequently, the majority of funding formerly provided by the state is now borne by students and their families. As seen in </w:t>
      </w:r>
      <w:r w:rsidR="00817517" w:rsidRPr="1CE55F61">
        <w:t>F</w:t>
      </w:r>
      <w:r w:rsidRPr="1CE55F61">
        <w:t xml:space="preserve">igure </w:t>
      </w:r>
      <w:r w:rsidR="00817517" w:rsidRPr="1CE55F61">
        <w:t xml:space="preserve">2 </w:t>
      </w:r>
      <w:r w:rsidRPr="1CE55F61">
        <w:t xml:space="preserve">below, in 1990-91, Washington state contributed 82 percent of the total funding per UW student FTE, and families were responsible for 18 percent. In </w:t>
      </w:r>
      <w:r w:rsidR="009D270E" w:rsidRPr="1CE55F61">
        <w:t>20</w:t>
      </w:r>
      <w:r w:rsidR="004D6A42" w:rsidRPr="1CE55F61">
        <w:t>2</w:t>
      </w:r>
      <w:r w:rsidR="00395129">
        <w:t>5</w:t>
      </w:r>
      <w:r w:rsidR="009D270E" w:rsidRPr="1CE55F61">
        <w:t>-2</w:t>
      </w:r>
      <w:r w:rsidR="00395129">
        <w:t>6</w:t>
      </w:r>
      <w:r w:rsidRPr="1CE55F61">
        <w:t xml:space="preserve">, state funds </w:t>
      </w:r>
      <w:r w:rsidR="4708E97A" w:rsidRPr="1CE55F61">
        <w:t>covered</w:t>
      </w:r>
      <w:r w:rsidR="002D27DD" w:rsidRPr="1CE55F61">
        <w:t xml:space="preserve"> </w:t>
      </w:r>
      <w:r w:rsidRPr="1CE55F61">
        <w:t xml:space="preserve">only </w:t>
      </w:r>
      <w:r w:rsidR="00395129">
        <w:t>39</w:t>
      </w:r>
      <w:r w:rsidRPr="1CE55F61">
        <w:t xml:space="preserve"> percent of the total funding per FTE, leaving </w:t>
      </w:r>
      <w:r w:rsidR="00A26B55" w:rsidRPr="1CE55F61">
        <w:t>6</w:t>
      </w:r>
      <w:r w:rsidR="00395129">
        <w:t>1</w:t>
      </w:r>
      <w:r w:rsidRPr="00F06C68">
        <w:rPr>
          <w:rFonts w:cstheme="minorHAnsi"/>
        </w:rPr>
        <w:softHyphen/>
      </w:r>
      <w:r w:rsidRPr="1CE55F61">
        <w:softHyphen/>
        <w:t xml:space="preserve"> percent to students and families.</w:t>
      </w:r>
    </w:p>
    <w:p w14:paraId="42F80EC1" w14:textId="6003FB7F" w:rsidR="00C11A6B" w:rsidRPr="00E71A28" w:rsidRDefault="004E1D31" w:rsidP="00E71A28">
      <w:pPr>
        <w:spacing w:after="0" w:line="240" w:lineRule="auto"/>
        <w:rPr>
          <w:rFonts w:ascii="Times New Roman" w:eastAsia="Times New Roman" w:hAnsi="Times New Roman" w:cs="Times New Roman"/>
          <w:sz w:val="24"/>
          <w:szCs w:val="24"/>
        </w:rPr>
      </w:pPr>
      <w:r>
        <w:rPr>
          <w:noProof/>
        </w:rPr>
        <w:drawing>
          <wp:inline distT="0" distB="0" distL="0" distR="0" wp14:anchorId="0A31CD2F" wp14:editId="2BA5DC5B">
            <wp:extent cx="6819900" cy="5029200"/>
            <wp:effectExtent l="0" t="0" r="0" b="0"/>
            <wp:docPr id="106095345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5FA502" w14:textId="4548A573" w:rsidR="00C3105B" w:rsidRPr="00F06C68" w:rsidRDefault="00C57B2B" w:rsidP="1CE55F61">
      <w:pPr>
        <w:pStyle w:val="ListParagraph"/>
        <w:widowControl w:val="0"/>
        <w:autoSpaceDE w:val="0"/>
        <w:autoSpaceDN w:val="0"/>
        <w:adjustRightInd w:val="0"/>
        <w:spacing w:after="160" w:line="259" w:lineRule="auto"/>
        <w:ind w:left="0"/>
        <w:rPr>
          <w:rFonts w:eastAsia="Times New Roman"/>
        </w:rPr>
      </w:pPr>
      <w:r w:rsidRPr="1CE55F61">
        <w:rPr>
          <w:rFonts w:eastAsia="Times New Roman"/>
        </w:rPr>
        <w:t xml:space="preserve">Rising tuition rates could have meant a decline in access and in the economic diversity of students, but this has not been the case at the UW. </w:t>
      </w:r>
      <w:r w:rsidRPr="1CE55F61">
        <w:rPr>
          <w:rFonts w:eastAsia="Times New Roman"/>
          <w:b/>
          <w:bCs/>
        </w:rPr>
        <w:t>The UW increased its contribution to institutional financial aid in order to minimize net-price increases, particularly for students with the most financial need.</w:t>
      </w:r>
      <w:r w:rsidRPr="1CE55F61">
        <w:rPr>
          <w:rFonts w:eastAsia="Times New Roman"/>
        </w:rPr>
        <w:t xml:space="preserve"> </w:t>
      </w:r>
      <w:r w:rsidR="00412692" w:rsidRPr="1CE55F61">
        <w:rPr>
          <w:rFonts w:eastAsia="Times New Roman"/>
        </w:rPr>
        <w:t xml:space="preserve">As of the </w:t>
      </w:r>
      <w:r w:rsidR="34BB41F5" w:rsidRPr="1CE55F61">
        <w:rPr>
          <w:rFonts w:eastAsia="Times New Roman"/>
        </w:rPr>
        <w:t>202</w:t>
      </w:r>
      <w:r w:rsidR="00727EC0">
        <w:rPr>
          <w:rFonts w:eastAsia="Times New Roman"/>
        </w:rPr>
        <w:t>4</w:t>
      </w:r>
      <w:r w:rsidR="34BB41F5" w:rsidRPr="1CE55F61">
        <w:rPr>
          <w:rFonts w:eastAsia="Times New Roman"/>
        </w:rPr>
        <w:t>-2</w:t>
      </w:r>
      <w:r w:rsidR="00727EC0">
        <w:rPr>
          <w:rFonts w:eastAsia="Times New Roman"/>
        </w:rPr>
        <w:t>5</w:t>
      </w:r>
      <w:r w:rsidR="34BB41F5" w:rsidRPr="1CE55F61">
        <w:rPr>
          <w:rFonts w:eastAsia="Times New Roman"/>
        </w:rPr>
        <w:t xml:space="preserve"> academic year</w:t>
      </w:r>
      <w:r w:rsidR="00727EC0">
        <w:rPr>
          <w:rFonts w:eastAsia="Times New Roman"/>
        </w:rPr>
        <w:t xml:space="preserve"> (the latest year for which data are available)</w:t>
      </w:r>
      <w:r w:rsidR="0003101F" w:rsidRPr="1CE55F61">
        <w:rPr>
          <w:rFonts w:eastAsia="Times New Roman"/>
        </w:rPr>
        <w:t>:</w:t>
      </w:r>
    </w:p>
    <w:p w14:paraId="7CF9E042" w14:textId="5DDB3C0B" w:rsidR="00E0002B" w:rsidRPr="00F06C68" w:rsidRDefault="00343824" w:rsidP="1CE55F61">
      <w:pPr>
        <w:pStyle w:val="ListParagraph"/>
        <w:numPr>
          <w:ilvl w:val="0"/>
          <w:numId w:val="3"/>
        </w:numPr>
        <w:spacing w:after="160" w:line="259" w:lineRule="auto"/>
        <w:rPr>
          <w:rFonts w:eastAsia="Times New Roman"/>
        </w:rPr>
      </w:pPr>
      <w:r w:rsidRPr="1CE55F61">
        <w:rPr>
          <w:rFonts w:eastAsia="Times New Roman"/>
          <w:b/>
          <w:bCs/>
        </w:rPr>
        <w:t>2</w:t>
      </w:r>
      <w:r w:rsidR="00993492">
        <w:rPr>
          <w:rFonts w:eastAsia="Times New Roman"/>
          <w:b/>
          <w:bCs/>
        </w:rPr>
        <w:t>7</w:t>
      </w:r>
      <w:r w:rsidRPr="1CE55F61">
        <w:rPr>
          <w:rFonts w:eastAsia="Times New Roman"/>
          <w:b/>
          <w:bCs/>
        </w:rPr>
        <w:t xml:space="preserve"> </w:t>
      </w:r>
      <w:r w:rsidR="00995D2D" w:rsidRPr="1CE55F61">
        <w:rPr>
          <w:rFonts w:eastAsia="Times New Roman"/>
          <w:b/>
          <w:bCs/>
        </w:rPr>
        <w:t>percent</w:t>
      </w:r>
      <w:r w:rsidR="00995D2D" w:rsidRPr="1CE55F61">
        <w:rPr>
          <w:rFonts w:eastAsia="Times New Roman"/>
        </w:rPr>
        <w:t xml:space="preserve"> of </w:t>
      </w:r>
      <w:r w:rsidR="00C57B2B" w:rsidRPr="1CE55F61">
        <w:rPr>
          <w:rFonts w:eastAsia="Times New Roman"/>
        </w:rPr>
        <w:t xml:space="preserve">UW undergraduates </w:t>
      </w:r>
      <w:r w:rsidR="00995D2D" w:rsidRPr="1CE55F61">
        <w:rPr>
          <w:rFonts w:eastAsia="Times New Roman"/>
        </w:rPr>
        <w:t>were eligible for Pell Grant funding</w:t>
      </w:r>
      <w:r w:rsidR="009E0C35" w:rsidRPr="1CE55F61">
        <w:rPr>
          <w:rFonts w:eastAsia="Times New Roman"/>
        </w:rPr>
        <w:t>.</w:t>
      </w:r>
    </w:p>
    <w:p w14:paraId="41F921DC" w14:textId="72B891FA" w:rsidR="00CF48BF" w:rsidRDefault="00DA5017" w:rsidP="1CE55F61">
      <w:pPr>
        <w:pStyle w:val="ListParagraph"/>
        <w:numPr>
          <w:ilvl w:val="0"/>
          <w:numId w:val="3"/>
        </w:numPr>
        <w:spacing w:after="160" w:line="259" w:lineRule="auto"/>
        <w:rPr>
          <w:rFonts w:eastAsia="Times New Roman"/>
        </w:rPr>
      </w:pPr>
      <w:r>
        <w:rPr>
          <w:rFonts w:eastAsia="Times New Roman"/>
          <w:b/>
          <w:bCs/>
        </w:rPr>
        <w:t>3</w:t>
      </w:r>
      <w:r w:rsidR="7AAAD26D" w:rsidRPr="1CE55F61">
        <w:rPr>
          <w:rFonts w:eastAsia="Times New Roman"/>
          <w:b/>
          <w:bCs/>
        </w:rPr>
        <w:t>0</w:t>
      </w:r>
      <w:r w:rsidR="00CF48BF" w:rsidRPr="1CE55F61">
        <w:rPr>
          <w:rFonts w:eastAsia="Times New Roman"/>
          <w:b/>
          <w:bCs/>
        </w:rPr>
        <w:t xml:space="preserve"> </w:t>
      </w:r>
      <w:r w:rsidR="00C57B2B" w:rsidRPr="1CE55F61">
        <w:rPr>
          <w:rFonts w:eastAsia="Times New Roman"/>
          <w:b/>
          <w:bCs/>
        </w:rPr>
        <w:t>percent (</w:t>
      </w:r>
      <w:r>
        <w:rPr>
          <w:rFonts w:eastAsia="Times New Roman"/>
          <w:b/>
          <w:bCs/>
        </w:rPr>
        <w:t>10,200</w:t>
      </w:r>
      <w:r w:rsidR="72DDDB9F" w:rsidRPr="1CE55F61">
        <w:rPr>
          <w:rFonts w:eastAsia="Times New Roman"/>
          <w:b/>
          <w:bCs/>
        </w:rPr>
        <w:t>)</w:t>
      </w:r>
      <w:r w:rsidR="00C57B2B" w:rsidRPr="1CE55F61">
        <w:rPr>
          <w:rFonts w:eastAsia="Times New Roman"/>
        </w:rPr>
        <w:t xml:space="preserve"> </w:t>
      </w:r>
      <w:r w:rsidR="00752693" w:rsidRPr="1CE55F61">
        <w:rPr>
          <w:rFonts w:eastAsia="Times New Roman"/>
        </w:rPr>
        <w:t xml:space="preserve">of </w:t>
      </w:r>
      <w:r w:rsidR="00C57B2B" w:rsidRPr="1CE55F61">
        <w:rPr>
          <w:rFonts w:eastAsia="Times New Roman"/>
        </w:rPr>
        <w:t xml:space="preserve">UW </w:t>
      </w:r>
      <w:r w:rsidR="003B3985" w:rsidRPr="1CE55F61">
        <w:rPr>
          <w:rFonts w:eastAsia="Times New Roman"/>
        </w:rPr>
        <w:t xml:space="preserve">resident </w:t>
      </w:r>
      <w:r w:rsidR="00C57B2B" w:rsidRPr="1CE55F61">
        <w:rPr>
          <w:rFonts w:eastAsia="Times New Roman"/>
        </w:rPr>
        <w:t xml:space="preserve">undergraduate </w:t>
      </w:r>
      <w:r w:rsidR="003B3985" w:rsidRPr="1CE55F61">
        <w:rPr>
          <w:rFonts w:eastAsia="Times New Roman"/>
        </w:rPr>
        <w:t>students</w:t>
      </w:r>
      <w:r w:rsidR="00C57B2B" w:rsidRPr="1CE55F61">
        <w:rPr>
          <w:rFonts w:eastAsia="Times New Roman"/>
        </w:rPr>
        <w:t xml:space="preserve"> </w:t>
      </w:r>
      <w:r w:rsidR="00C3105B" w:rsidRPr="1CE55F61">
        <w:rPr>
          <w:rFonts w:eastAsia="Times New Roman"/>
        </w:rPr>
        <w:t xml:space="preserve">were </w:t>
      </w:r>
      <w:r w:rsidR="00C57B2B" w:rsidRPr="1CE55F61">
        <w:rPr>
          <w:rFonts w:eastAsia="Times New Roman"/>
        </w:rPr>
        <w:t>eligible for the Husky Prom</w:t>
      </w:r>
      <w:r w:rsidR="00165C84" w:rsidRPr="1CE55F61">
        <w:rPr>
          <w:rFonts w:eastAsia="Times New Roman"/>
        </w:rPr>
        <w:t>ise.</w:t>
      </w:r>
    </w:p>
    <w:p w14:paraId="08F43825" w14:textId="68CE62A9" w:rsidR="00E0002B" w:rsidRPr="004024C4" w:rsidRDefault="20E86EFF" w:rsidP="1CE55F61">
      <w:pPr>
        <w:pStyle w:val="ListParagraph"/>
        <w:numPr>
          <w:ilvl w:val="0"/>
          <w:numId w:val="3"/>
        </w:numPr>
        <w:spacing w:after="160" w:line="259" w:lineRule="auto"/>
        <w:rPr>
          <w:rFonts w:eastAsia="Times New Roman"/>
        </w:rPr>
      </w:pPr>
      <w:r w:rsidRPr="1CE55F61">
        <w:rPr>
          <w:rFonts w:eastAsia="Times New Roman"/>
          <w:b/>
          <w:bCs/>
        </w:rPr>
        <w:t>4</w:t>
      </w:r>
      <w:r w:rsidR="00157D88">
        <w:rPr>
          <w:rFonts w:eastAsia="Times New Roman"/>
          <w:b/>
          <w:bCs/>
        </w:rPr>
        <w:t>2</w:t>
      </w:r>
      <w:r w:rsidRPr="1CE55F61">
        <w:rPr>
          <w:rFonts w:eastAsia="Times New Roman"/>
          <w:b/>
          <w:bCs/>
        </w:rPr>
        <w:t xml:space="preserve"> percent</w:t>
      </w:r>
      <w:r w:rsidR="003B3985" w:rsidRPr="1CE55F61">
        <w:rPr>
          <w:rFonts w:eastAsia="Times New Roman"/>
          <w:b/>
          <w:bCs/>
        </w:rPr>
        <w:t xml:space="preserve"> </w:t>
      </w:r>
      <w:r w:rsidR="152FF63F" w:rsidRPr="1CE55F61">
        <w:rPr>
          <w:rFonts w:eastAsia="Times New Roman"/>
          <w:b/>
          <w:bCs/>
        </w:rPr>
        <w:t>(</w:t>
      </w:r>
      <w:r w:rsidR="003F1F4A" w:rsidRPr="1CE55F61">
        <w:rPr>
          <w:rFonts w:eastAsia="Times New Roman"/>
          <w:b/>
          <w:bCs/>
        </w:rPr>
        <w:t>1</w:t>
      </w:r>
      <w:r w:rsidR="00157D88">
        <w:rPr>
          <w:rFonts w:eastAsia="Times New Roman"/>
          <w:b/>
          <w:bCs/>
        </w:rPr>
        <w:t>4,400</w:t>
      </w:r>
      <w:r w:rsidR="23E5808E" w:rsidRPr="1CE55F61">
        <w:rPr>
          <w:rFonts w:eastAsia="Times New Roman"/>
          <w:b/>
          <w:bCs/>
        </w:rPr>
        <w:t xml:space="preserve">) </w:t>
      </w:r>
      <w:r w:rsidR="23E5808E" w:rsidRPr="1CE55F61">
        <w:rPr>
          <w:rFonts w:eastAsia="Times New Roman"/>
        </w:rPr>
        <w:t>of</w:t>
      </w:r>
      <w:r w:rsidR="003F1F4A" w:rsidRPr="1CE55F61">
        <w:rPr>
          <w:rFonts w:eastAsia="Times New Roman"/>
        </w:rPr>
        <w:t xml:space="preserve"> </w:t>
      </w:r>
      <w:r w:rsidR="003B3985" w:rsidRPr="1CE55F61">
        <w:rPr>
          <w:rFonts w:eastAsia="Times New Roman"/>
        </w:rPr>
        <w:t>UW students receive</w:t>
      </w:r>
      <w:r w:rsidR="41FCCFBC" w:rsidRPr="1CE55F61">
        <w:rPr>
          <w:rFonts w:eastAsia="Times New Roman"/>
        </w:rPr>
        <w:t>d</w:t>
      </w:r>
      <w:r w:rsidR="003B3985" w:rsidRPr="1CE55F61">
        <w:rPr>
          <w:rFonts w:eastAsia="Times New Roman"/>
        </w:rPr>
        <w:t xml:space="preserve"> funds from the Washington </w:t>
      </w:r>
      <w:r w:rsidR="00C3105B" w:rsidRPr="1CE55F61">
        <w:rPr>
          <w:rFonts w:eastAsia="Times New Roman"/>
        </w:rPr>
        <w:t>College Grant</w:t>
      </w:r>
      <w:r w:rsidR="004D6A42" w:rsidRPr="1CE55F61">
        <w:rPr>
          <w:rFonts w:eastAsia="Times New Roman"/>
        </w:rPr>
        <w:t>.</w:t>
      </w:r>
    </w:p>
    <w:p w14:paraId="7BEB24D3" w14:textId="77CA4DDC" w:rsidR="00C57B2B" w:rsidRPr="00F06C68" w:rsidRDefault="4A7992CD" w:rsidP="1CE55F61">
      <w:pPr>
        <w:pStyle w:val="ListParagraph"/>
        <w:numPr>
          <w:ilvl w:val="0"/>
          <w:numId w:val="3"/>
        </w:numPr>
        <w:spacing w:after="160" w:line="259" w:lineRule="auto"/>
        <w:rPr>
          <w:rFonts w:eastAsia="Times New Roman"/>
        </w:rPr>
      </w:pPr>
      <w:r w:rsidRPr="1CE55F61">
        <w:rPr>
          <w:rFonts w:eastAsia="Times New Roman"/>
          <w:b/>
          <w:bCs/>
        </w:rPr>
        <w:lastRenderedPageBreak/>
        <w:t>2</w:t>
      </w:r>
      <w:r w:rsidR="007424E4">
        <w:rPr>
          <w:rFonts w:eastAsia="Times New Roman"/>
          <w:b/>
          <w:bCs/>
        </w:rPr>
        <w:t>8</w:t>
      </w:r>
      <w:r w:rsidRPr="1CE55F61">
        <w:rPr>
          <w:rFonts w:eastAsia="Times New Roman"/>
          <w:b/>
          <w:bCs/>
        </w:rPr>
        <w:t xml:space="preserve"> percent</w:t>
      </w:r>
      <w:r w:rsidRPr="1CE55F61">
        <w:rPr>
          <w:rFonts w:eastAsia="Times New Roman"/>
        </w:rPr>
        <w:t xml:space="preserve"> of </w:t>
      </w:r>
      <w:r w:rsidRPr="1CE55F61">
        <w:t>entering freshmen are first-generation, four-year degree-seeking students.</w:t>
      </w:r>
    </w:p>
    <w:p w14:paraId="7FBD252D" w14:textId="15EE6067" w:rsidR="00C57B2B" w:rsidRDefault="003560B9" w:rsidP="1CE55F61">
      <w:pPr>
        <w:pStyle w:val="ListParagraph"/>
        <w:numPr>
          <w:ilvl w:val="0"/>
          <w:numId w:val="3"/>
        </w:numPr>
        <w:spacing w:after="160" w:line="259" w:lineRule="auto"/>
        <w:rPr>
          <w:rFonts w:eastAsia="Times New Roman"/>
        </w:rPr>
      </w:pPr>
      <w:r w:rsidRPr="1CE55F61">
        <w:rPr>
          <w:rFonts w:eastAsia="Times New Roman"/>
        </w:rPr>
        <w:t xml:space="preserve">In </w:t>
      </w:r>
      <w:r w:rsidR="00606DB9" w:rsidRPr="1CE55F61">
        <w:rPr>
          <w:rFonts w:eastAsia="Times New Roman"/>
        </w:rPr>
        <w:t>202</w:t>
      </w:r>
      <w:r w:rsidR="007424E4">
        <w:rPr>
          <w:rFonts w:eastAsia="Times New Roman"/>
        </w:rPr>
        <w:t>4</w:t>
      </w:r>
      <w:r w:rsidRPr="1CE55F61">
        <w:rPr>
          <w:rFonts w:eastAsia="Times New Roman"/>
        </w:rPr>
        <w:t>-</w:t>
      </w:r>
      <w:r w:rsidR="00606DB9" w:rsidRPr="1CE55F61">
        <w:rPr>
          <w:rFonts w:eastAsia="Times New Roman"/>
        </w:rPr>
        <w:t>2</w:t>
      </w:r>
      <w:r w:rsidR="007424E4">
        <w:rPr>
          <w:rFonts w:eastAsia="Times New Roman"/>
        </w:rPr>
        <w:t>5</w:t>
      </w:r>
      <w:r w:rsidR="00C57B2B" w:rsidRPr="1CE55F61">
        <w:rPr>
          <w:rFonts w:eastAsia="Times New Roman"/>
        </w:rPr>
        <w:t xml:space="preserve">, </w:t>
      </w:r>
      <w:r w:rsidR="07759FE8" w:rsidRPr="1CE55F61">
        <w:rPr>
          <w:rFonts w:eastAsia="Times New Roman"/>
          <w:b/>
          <w:bCs/>
        </w:rPr>
        <w:t>5</w:t>
      </w:r>
      <w:r w:rsidR="00C2308F">
        <w:rPr>
          <w:rFonts w:eastAsia="Times New Roman"/>
          <w:b/>
          <w:bCs/>
        </w:rPr>
        <w:t>7</w:t>
      </w:r>
      <w:r w:rsidR="00606DB9" w:rsidRPr="1CE55F61">
        <w:rPr>
          <w:rFonts w:eastAsia="Times New Roman"/>
        </w:rPr>
        <w:t xml:space="preserve"> </w:t>
      </w:r>
      <w:r w:rsidR="00A933DC" w:rsidRPr="1CE55F61">
        <w:rPr>
          <w:rFonts w:eastAsia="Times New Roman"/>
          <w:b/>
          <w:bCs/>
        </w:rPr>
        <w:t>percent</w:t>
      </w:r>
      <w:r w:rsidR="00A933DC" w:rsidRPr="1CE55F61">
        <w:rPr>
          <w:rFonts w:eastAsia="Times New Roman"/>
        </w:rPr>
        <w:t xml:space="preserve"> </w:t>
      </w:r>
      <w:r w:rsidR="00C57B2B" w:rsidRPr="1CE55F61">
        <w:rPr>
          <w:rFonts w:eastAsia="Times New Roman"/>
        </w:rPr>
        <w:t>of UW undergraduates receive</w:t>
      </w:r>
      <w:r w:rsidR="003D3C8D" w:rsidRPr="1CE55F61">
        <w:rPr>
          <w:rFonts w:eastAsia="Times New Roman"/>
        </w:rPr>
        <w:t>d</w:t>
      </w:r>
      <w:r w:rsidR="00C57B2B" w:rsidRPr="1CE55F61">
        <w:rPr>
          <w:rFonts w:eastAsia="Times New Roman"/>
        </w:rPr>
        <w:t xml:space="preserve"> some form of financial aid</w:t>
      </w:r>
      <w:r w:rsidR="003D3C8D" w:rsidRPr="1CE55F61">
        <w:rPr>
          <w:rFonts w:eastAsia="Times New Roman"/>
        </w:rPr>
        <w:t xml:space="preserve">, </w:t>
      </w:r>
      <w:r w:rsidR="00752693" w:rsidRPr="1CE55F61">
        <w:rPr>
          <w:rFonts w:eastAsia="Times New Roman"/>
        </w:rPr>
        <w:t xml:space="preserve">with </w:t>
      </w:r>
      <w:r w:rsidR="511FB89D" w:rsidRPr="1CE55F61">
        <w:rPr>
          <w:rFonts w:eastAsia="Times New Roman"/>
        </w:rPr>
        <w:t>approximately</w:t>
      </w:r>
      <w:r w:rsidR="003B3985" w:rsidRPr="1CE55F61">
        <w:rPr>
          <w:rFonts w:eastAsia="Times New Roman"/>
        </w:rPr>
        <w:t xml:space="preserve"> </w:t>
      </w:r>
      <w:r w:rsidR="00995D2D" w:rsidRPr="1CE55F61">
        <w:rPr>
          <w:rFonts w:eastAsia="Times New Roman"/>
          <w:b/>
          <w:bCs/>
        </w:rPr>
        <w:t>$4</w:t>
      </w:r>
      <w:r w:rsidR="00C2308F">
        <w:rPr>
          <w:rFonts w:eastAsia="Times New Roman"/>
          <w:b/>
          <w:bCs/>
        </w:rPr>
        <w:t>99</w:t>
      </w:r>
      <w:r w:rsidR="00A933DC" w:rsidRPr="1CE55F61">
        <w:rPr>
          <w:rFonts w:eastAsia="Times New Roman"/>
          <w:b/>
          <w:bCs/>
        </w:rPr>
        <w:t xml:space="preserve"> million</w:t>
      </w:r>
      <w:r w:rsidR="00A933DC" w:rsidRPr="1CE55F61">
        <w:rPr>
          <w:rFonts w:eastAsia="Times New Roman"/>
        </w:rPr>
        <w:t xml:space="preserve"> in aid</w:t>
      </w:r>
      <w:r w:rsidR="003D3C8D" w:rsidRPr="1CE55F61">
        <w:rPr>
          <w:rFonts w:eastAsia="Times New Roman"/>
        </w:rPr>
        <w:t xml:space="preserve"> given. </w:t>
      </w:r>
      <w:r w:rsidR="0071365C" w:rsidRPr="1CE55F61">
        <w:rPr>
          <w:rFonts w:eastAsia="Times New Roman"/>
        </w:rPr>
        <w:t>T</w:t>
      </w:r>
      <w:r w:rsidR="003D3C8D" w:rsidRPr="1CE55F61">
        <w:rPr>
          <w:rFonts w:eastAsia="Times New Roman"/>
        </w:rPr>
        <w:t xml:space="preserve">he UW </w:t>
      </w:r>
      <w:r w:rsidR="0071365C" w:rsidRPr="1CE55F61">
        <w:rPr>
          <w:rFonts w:eastAsia="Times New Roman"/>
        </w:rPr>
        <w:t>also</w:t>
      </w:r>
      <w:r w:rsidR="003D3C8D" w:rsidRPr="1CE55F61">
        <w:rPr>
          <w:rFonts w:eastAsia="Times New Roman"/>
        </w:rPr>
        <w:t xml:space="preserve"> award</w:t>
      </w:r>
      <w:r w:rsidR="14B6261F" w:rsidRPr="1CE55F61">
        <w:rPr>
          <w:rFonts w:eastAsia="Times New Roman"/>
        </w:rPr>
        <w:t>ed</w:t>
      </w:r>
      <w:r w:rsidR="003D3C8D" w:rsidRPr="1CE55F61">
        <w:rPr>
          <w:rFonts w:eastAsia="Times New Roman"/>
        </w:rPr>
        <w:t xml:space="preserve"> more than </w:t>
      </w:r>
      <w:r w:rsidR="00A933DC" w:rsidRPr="1CE55F61">
        <w:rPr>
          <w:rFonts w:eastAsia="Times New Roman"/>
          <w:b/>
          <w:bCs/>
        </w:rPr>
        <w:t>$</w:t>
      </w:r>
      <w:r w:rsidR="000947A0" w:rsidRPr="1CE55F61">
        <w:rPr>
          <w:rFonts w:eastAsia="Times New Roman"/>
          <w:b/>
          <w:bCs/>
        </w:rPr>
        <w:t>1</w:t>
      </w:r>
      <w:r w:rsidR="206CC7A9" w:rsidRPr="1CE55F61">
        <w:rPr>
          <w:rFonts w:eastAsia="Times New Roman"/>
          <w:b/>
          <w:bCs/>
        </w:rPr>
        <w:t>0</w:t>
      </w:r>
      <w:r w:rsidR="000947A0" w:rsidRPr="1CE55F61">
        <w:rPr>
          <w:rFonts w:eastAsia="Times New Roman"/>
          <w:b/>
          <w:bCs/>
        </w:rPr>
        <w:t xml:space="preserve">0 </w:t>
      </w:r>
      <w:r w:rsidR="00995D2D" w:rsidRPr="1CE55F61">
        <w:rPr>
          <w:rFonts w:eastAsia="Times New Roman"/>
          <w:b/>
          <w:bCs/>
        </w:rPr>
        <w:t>million</w:t>
      </w:r>
      <w:r w:rsidR="00995D2D" w:rsidRPr="1CE55F61">
        <w:rPr>
          <w:rFonts w:eastAsia="Times New Roman"/>
        </w:rPr>
        <w:t xml:space="preserve"> </w:t>
      </w:r>
      <w:r w:rsidR="003D3C8D" w:rsidRPr="1CE55F61">
        <w:rPr>
          <w:rFonts w:eastAsia="Times New Roman"/>
        </w:rPr>
        <w:t>in</w:t>
      </w:r>
      <w:r w:rsidR="00995D2D" w:rsidRPr="1CE55F61">
        <w:rPr>
          <w:rFonts w:eastAsia="Times New Roman"/>
        </w:rPr>
        <w:t xml:space="preserve"> institutional grants and scholarships</w:t>
      </w:r>
      <w:r w:rsidR="003D3C8D" w:rsidRPr="1CE55F61">
        <w:rPr>
          <w:rFonts w:eastAsia="Times New Roman"/>
        </w:rPr>
        <w:t xml:space="preserve"> specifically</w:t>
      </w:r>
      <w:r w:rsidR="00995D2D" w:rsidRPr="1CE55F61">
        <w:rPr>
          <w:rFonts w:eastAsia="Times New Roman"/>
        </w:rPr>
        <w:t xml:space="preserve"> to Washington residents.</w:t>
      </w:r>
    </w:p>
    <w:p w14:paraId="477AB104" w14:textId="412033B5" w:rsidR="00F62276" w:rsidRPr="00F06C68" w:rsidRDefault="00F62276" w:rsidP="1CE55F61">
      <w:pPr>
        <w:pStyle w:val="ListParagraph"/>
        <w:numPr>
          <w:ilvl w:val="0"/>
          <w:numId w:val="3"/>
        </w:numPr>
        <w:spacing w:after="160" w:line="259" w:lineRule="auto"/>
        <w:rPr>
          <w:rFonts w:eastAsia="Times New Roman"/>
        </w:rPr>
      </w:pPr>
      <w:r>
        <w:rPr>
          <w:rFonts w:eastAsia="Times New Roman"/>
        </w:rPr>
        <w:t xml:space="preserve">In </w:t>
      </w:r>
      <w:r w:rsidR="00143FDB">
        <w:rPr>
          <w:rFonts w:eastAsia="Times New Roman"/>
        </w:rPr>
        <w:t>2024-25, about 70 percent of all UW undergraduates gra</w:t>
      </w:r>
      <w:r w:rsidR="00A61588">
        <w:rPr>
          <w:rFonts w:eastAsia="Times New Roman"/>
        </w:rPr>
        <w:t>duated with no known debt.</w:t>
      </w:r>
      <w:r w:rsidR="00A61588">
        <w:rPr>
          <w:rStyle w:val="FootnoteReference"/>
          <w:rFonts w:eastAsia="Times New Roman"/>
        </w:rPr>
        <w:footnoteReference w:id="3"/>
      </w:r>
    </w:p>
    <w:p w14:paraId="021597FD" w14:textId="5BAFD6A8" w:rsidR="3540714C" w:rsidRDefault="3540714C" w:rsidP="1CE55F61">
      <w:pPr>
        <w:spacing w:after="160" w:line="259" w:lineRule="auto"/>
        <w:rPr>
          <w:rFonts w:eastAsia="Times New Roman"/>
        </w:rPr>
      </w:pPr>
      <w:r w:rsidRPr="364BA296">
        <w:rPr>
          <w:rFonts w:eastAsia="Times New Roman"/>
        </w:rPr>
        <w:t xml:space="preserve">More information can be found in our </w:t>
      </w:r>
      <w:hyperlink r:id="rId15">
        <w:r w:rsidR="00EA0E59">
          <w:rPr>
            <w:rStyle w:val="Hyperlink"/>
            <w:rFonts w:eastAsia="Times New Roman"/>
          </w:rPr>
          <w:t>2025-26 Fast Facts</w:t>
        </w:r>
      </w:hyperlink>
      <w:r w:rsidRPr="364BA296">
        <w:rPr>
          <w:rFonts w:eastAsia="Times New Roman"/>
        </w:rPr>
        <w:t>.</w:t>
      </w:r>
    </w:p>
    <w:p w14:paraId="6AC8B796" w14:textId="3FD721D2" w:rsidR="00707C2F" w:rsidRPr="00F06C68" w:rsidRDefault="00707C2F" w:rsidP="1CE55F61">
      <w:pPr>
        <w:spacing w:after="160" w:line="259" w:lineRule="auto"/>
        <w:rPr>
          <w:rStyle w:val="FootnoteReference"/>
          <w:b/>
          <w:bCs/>
        </w:rPr>
      </w:pPr>
      <w:r w:rsidRPr="1CE55F61">
        <w:rPr>
          <w:rFonts w:eastAsia="Times New Roman"/>
        </w:rPr>
        <w:t>Table 1</w:t>
      </w:r>
      <w:r w:rsidR="000947A0" w:rsidRPr="1CE55F61">
        <w:rPr>
          <w:rFonts w:eastAsia="Times New Roman"/>
        </w:rPr>
        <w:t xml:space="preserve"> </w:t>
      </w:r>
      <w:r w:rsidRPr="1CE55F61">
        <w:rPr>
          <w:rFonts w:eastAsia="Times New Roman"/>
        </w:rPr>
        <w:t>compares the UW in Seattle to its peers</w:t>
      </w:r>
      <w:r w:rsidR="0094418C">
        <w:rPr>
          <w:rFonts w:eastAsia="Times New Roman"/>
        </w:rPr>
        <w:t xml:space="preserve">, </w:t>
      </w:r>
      <w:r w:rsidRPr="1CE55F61">
        <w:rPr>
          <w:rFonts w:eastAsia="Times New Roman"/>
        </w:rPr>
        <w:t xml:space="preserve">the </w:t>
      </w:r>
      <w:r w:rsidR="00E13A8A">
        <w:t>Association of American Universities</w:t>
      </w:r>
      <w:r w:rsidR="00DA105A">
        <w:t xml:space="preserve"> (AAU)</w:t>
      </w:r>
      <w:r w:rsidR="0094418C">
        <w:rPr>
          <w:rFonts w:eastAsia="Times New Roman"/>
        </w:rPr>
        <w:t>,</w:t>
      </w:r>
      <w:r w:rsidRPr="1CE55F61">
        <w:rPr>
          <w:rFonts w:eastAsia="Times New Roman"/>
        </w:rPr>
        <w:t xml:space="preserve"> on two common metrics of affordability and access: net price and percent of students receiving Pell grants. In </w:t>
      </w:r>
      <w:r w:rsidR="003F78C9" w:rsidRPr="3A40E644">
        <w:rPr>
          <w:rFonts w:eastAsia="Times New Roman"/>
        </w:rPr>
        <w:t>202</w:t>
      </w:r>
      <w:r w:rsidR="5BD98D01" w:rsidRPr="3A40E644">
        <w:rPr>
          <w:rFonts w:eastAsia="Times New Roman"/>
        </w:rPr>
        <w:t>3</w:t>
      </w:r>
      <w:r w:rsidR="003408FE" w:rsidRPr="3A40E644">
        <w:rPr>
          <w:rFonts w:eastAsia="Times New Roman"/>
        </w:rPr>
        <w:t>-</w:t>
      </w:r>
      <w:r w:rsidR="003F78C9" w:rsidRPr="3A40E644">
        <w:rPr>
          <w:rFonts w:eastAsia="Times New Roman"/>
        </w:rPr>
        <w:t>2</w:t>
      </w:r>
      <w:r w:rsidR="7A064245" w:rsidRPr="3A40E644">
        <w:rPr>
          <w:rFonts w:eastAsia="Times New Roman"/>
        </w:rPr>
        <w:t>4</w:t>
      </w:r>
      <w:r w:rsidRPr="1CE55F61">
        <w:rPr>
          <w:rFonts w:eastAsia="Times New Roman"/>
        </w:rPr>
        <w:t xml:space="preserve">, the </w:t>
      </w:r>
      <w:r w:rsidRPr="1CE55F61">
        <w:rPr>
          <w:rFonts w:eastAsia="Times New Roman"/>
          <w:b/>
          <w:bCs/>
        </w:rPr>
        <w:t>published price</w:t>
      </w:r>
      <w:r w:rsidRPr="1CE55F61">
        <w:rPr>
          <w:rFonts w:eastAsia="Times New Roman"/>
        </w:rPr>
        <w:t xml:space="preserve"> for resident undergraduates at Seattle was </w:t>
      </w:r>
      <w:r w:rsidRPr="0074766E">
        <w:rPr>
          <w:rFonts w:eastAsia="Times New Roman"/>
          <w:b/>
          <w:bCs/>
        </w:rPr>
        <w:t>$</w:t>
      </w:r>
      <w:r w:rsidR="005B660B" w:rsidRPr="0074766E">
        <w:rPr>
          <w:rFonts w:eastAsia="Times New Roman"/>
          <w:b/>
          <w:bCs/>
        </w:rPr>
        <w:t>3</w:t>
      </w:r>
      <w:r w:rsidR="0074766E" w:rsidRPr="0074766E">
        <w:rPr>
          <w:rFonts w:eastAsia="Times New Roman"/>
          <w:b/>
          <w:bCs/>
        </w:rPr>
        <w:t>4,554</w:t>
      </w:r>
      <w:r w:rsidR="0074766E">
        <w:rPr>
          <w:rFonts w:eastAsia="Times New Roman"/>
          <w:b/>
          <w:bCs/>
        </w:rPr>
        <w:t xml:space="preserve"> </w:t>
      </w:r>
      <w:r w:rsidRPr="1CE55F61">
        <w:rPr>
          <w:rFonts w:eastAsia="Times New Roman"/>
        </w:rPr>
        <w:t xml:space="preserve">whereas the </w:t>
      </w:r>
      <w:r w:rsidRPr="1CE55F61">
        <w:rPr>
          <w:rFonts w:eastAsia="Times New Roman"/>
          <w:b/>
          <w:bCs/>
        </w:rPr>
        <w:t>net price</w:t>
      </w:r>
      <w:r w:rsidRPr="1CE55F61">
        <w:rPr>
          <w:rFonts w:eastAsia="Times New Roman"/>
        </w:rPr>
        <w:t xml:space="preserve"> for first-time, full-time, resident undergraduates at Seattle was </w:t>
      </w:r>
      <w:r w:rsidR="00D81527" w:rsidRPr="3A40E644">
        <w:rPr>
          <w:rFonts w:eastAsia="Times New Roman"/>
          <w:b/>
          <w:bCs/>
        </w:rPr>
        <w:t>$</w:t>
      </w:r>
      <w:r w:rsidR="00174D06" w:rsidRPr="3A40E644">
        <w:rPr>
          <w:rFonts w:eastAsia="Times New Roman"/>
          <w:b/>
          <w:bCs/>
        </w:rPr>
        <w:t>1</w:t>
      </w:r>
      <w:r w:rsidR="6001BC81" w:rsidRPr="3A40E644">
        <w:rPr>
          <w:rFonts w:eastAsia="Times New Roman"/>
          <w:b/>
          <w:bCs/>
        </w:rPr>
        <w:t>1,</w:t>
      </w:r>
      <w:r w:rsidR="2C838A9E" w:rsidRPr="3A40E644">
        <w:rPr>
          <w:rFonts w:eastAsia="Times New Roman"/>
          <w:b/>
          <w:bCs/>
        </w:rPr>
        <w:t>784</w:t>
      </w:r>
      <w:r w:rsidRPr="1CE55F61">
        <w:rPr>
          <w:rFonts w:eastAsia="Times New Roman"/>
          <w:b/>
          <w:bCs/>
        </w:rPr>
        <w:t>.</w:t>
      </w:r>
      <w:r w:rsidRPr="1CE55F61">
        <w:rPr>
          <w:rFonts w:eastAsia="Times New Roman"/>
        </w:rPr>
        <w:t xml:space="preserve"> </w:t>
      </w:r>
      <w:r w:rsidRPr="1CE55F61">
        <w:t xml:space="preserve">As the table shows, </w:t>
      </w:r>
      <w:r w:rsidRPr="1CE55F61">
        <w:rPr>
          <w:b/>
          <w:bCs/>
        </w:rPr>
        <w:t>the UW in Seattle has the</w:t>
      </w:r>
      <w:r w:rsidR="00091152">
        <w:rPr>
          <w:b/>
          <w:bCs/>
        </w:rPr>
        <w:t xml:space="preserve"> second</w:t>
      </w:r>
      <w:r w:rsidRPr="1CE55F61">
        <w:rPr>
          <w:b/>
          <w:bCs/>
        </w:rPr>
        <w:t xml:space="preserve"> lowest net price of its peers</w:t>
      </w:r>
      <w:r w:rsidR="00E71A28">
        <w:rPr>
          <w:b/>
          <w:bCs/>
        </w:rPr>
        <w:t>.</w:t>
      </w:r>
    </w:p>
    <w:p w14:paraId="13C49B69" w14:textId="41A014DA" w:rsidR="00A02048" w:rsidRPr="00CE5447" w:rsidRDefault="00A02048" w:rsidP="00A02048">
      <w:pPr>
        <w:pStyle w:val="NoSpacing"/>
        <w:ind w:right="3330"/>
        <w:rPr>
          <w:color w:val="000000" w:themeColor="text1"/>
        </w:rPr>
      </w:pPr>
      <w:r w:rsidRPr="00A02048">
        <w:rPr>
          <w:b/>
          <w:bCs/>
          <w:color w:val="000000" w:themeColor="text1"/>
        </w:rPr>
        <w:t xml:space="preserve">Table </w:t>
      </w:r>
      <w:r w:rsidRPr="00A02048">
        <w:rPr>
          <w:b/>
          <w:bCs/>
          <w:color w:val="000000" w:themeColor="text1"/>
        </w:rPr>
        <w:fldChar w:fldCharType="begin"/>
      </w:r>
      <w:r w:rsidRPr="00A02048">
        <w:rPr>
          <w:b/>
          <w:bCs/>
          <w:color w:val="000000" w:themeColor="text1"/>
        </w:rPr>
        <w:instrText xml:space="preserve"> SEQ Table \* ARABIC </w:instrText>
      </w:r>
      <w:r w:rsidRPr="00A02048">
        <w:rPr>
          <w:b/>
          <w:bCs/>
          <w:color w:val="000000" w:themeColor="text1"/>
        </w:rPr>
        <w:fldChar w:fldCharType="separate"/>
      </w:r>
      <w:r w:rsidRPr="00A02048">
        <w:rPr>
          <w:b/>
          <w:bCs/>
          <w:noProof/>
          <w:color w:val="000000" w:themeColor="text1"/>
        </w:rPr>
        <w:t>1</w:t>
      </w:r>
      <w:r w:rsidRPr="00A02048">
        <w:rPr>
          <w:b/>
          <w:bCs/>
          <w:color w:val="000000" w:themeColor="text1"/>
        </w:rPr>
        <w:fldChar w:fldCharType="end"/>
      </w:r>
      <w:r w:rsidRPr="00A02048">
        <w:rPr>
          <w:b/>
          <w:bCs/>
          <w:color w:val="000000" w:themeColor="text1"/>
        </w:rPr>
        <w:t>: 2024 AAU Leading Research Public Universities Peer Comparisons: Resident Undergraduate Net Price and Pell Recipients</w:t>
      </w:r>
      <w:r w:rsidR="00A00C12">
        <w:rPr>
          <w:rStyle w:val="FootnoteReference"/>
          <w:b/>
          <w:bCs/>
          <w:color w:val="000000" w:themeColor="text1"/>
        </w:rPr>
        <w:footnoteReference w:id="4"/>
      </w:r>
      <w:r w:rsidR="00B913DB">
        <w:rPr>
          <w:b/>
          <w:bCs/>
          <w:color w:val="000000" w:themeColor="text1"/>
        </w:rPr>
        <w:t xml:space="preserve">; </w:t>
      </w:r>
      <w:r w:rsidR="00CE5447" w:rsidRPr="00B913DB">
        <w:rPr>
          <w:b/>
          <w:bCs/>
          <w:i/>
          <w:iCs/>
          <w:color w:val="000000" w:themeColor="text1"/>
        </w:rPr>
        <w:t>Source: IPEDS</w:t>
      </w:r>
      <w:r w:rsidR="00B913DB" w:rsidRPr="00B913DB">
        <w:rPr>
          <w:b/>
          <w:bCs/>
          <w:i/>
          <w:iCs/>
          <w:color w:val="000000" w:themeColor="text1"/>
        </w:rPr>
        <w:t xml:space="preserve"> 2024</w:t>
      </w:r>
    </w:p>
    <w:tbl>
      <w:tblPr>
        <w:tblW w:w="7465" w:type="dxa"/>
        <w:tblLook w:val="04A0" w:firstRow="1" w:lastRow="0" w:firstColumn="1" w:lastColumn="0" w:noHBand="0" w:noVBand="1"/>
      </w:tblPr>
      <w:tblGrid>
        <w:gridCol w:w="4045"/>
        <w:gridCol w:w="1710"/>
        <w:gridCol w:w="1710"/>
      </w:tblGrid>
      <w:tr w:rsidR="007F6A5A" w:rsidRPr="007F6A5A" w14:paraId="7AB862A5" w14:textId="77777777" w:rsidTr="008571FE">
        <w:trPr>
          <w:trHeight w:val="300"/>
        </w:trPr>
        <w:tc>
          <w:tcPr>
            <w:tcW w:w="4045"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FF35EB" w14:textId="77777777" w:rsidR="007F6A5A" w:rsidRPr="007F6A5A" w:rsidRDefault="007F6A5A" w:rsidP="008571FE">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Institution Name</w:t>
            </w:r>
          </w:p>
        </w:tc>
        <w:tc>
          <w:tcPr>
            <w:tcW w:w="342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DD90C44" w14:textId="70613E26" w:rsidR="007F6A5A" w:rsidRPr="007F6A5A" w:rsidRDefault="007F6A5A" w:rsidP="008571FE">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2023-24</w:t>
            </w:r>
          </w:p>
        </w:tc>
      </w:tr>
      <w:tr w:rsidR="007F6A5A" w:rsidRPr="007F6A5A" w14:paraId="1267A287" w14:textId="77777777" w:rsidTr="008571FE">
        <w:trPr>
          <w:trHeight w:val="345"/>
        </w:trPr>
        <w:tc>
          <w:tcPr>
            <w:tcW w:w="4045" w:type="dxa"/>
            <w:vMerge/>
            <w:tcBorders>
              <w:top w:val="single" w:sz="4" w:space="0" w:color="auto"/>
              <w:left w:val="single" w:sz="4" w:space="0" w:color="auto"/>
              <w:bottom w:val="single" w:sz="4" w:space="0" w:color="auto"/>
              <w:right w:val="single" w:sz="4" w:space="0" w:color="auto"/>
            </w:tcBorders>
            <w:vAlign w:val="center"/>
            <w:hideMark/>
          </w:tcPr>
          <w:p w14:paraId="0EAD3AE5" w14:textId="77777777" w:rsidR="007F6A5A" w:rsidRPr="007F6A5A" w:rsidRDefault="007F6A5A" w:rsidP="008571FE">
            <w:pPr>
              <w:spacing w:after="0" w:line="240" w:lineRule="auto"/>
              <w:jc w:val="center"/>
              <w:rPr>
                <w:rFonts w:ascii="Calibri" w:eastAsia="Times New Roman" w:hAnsi="Calibri" w:cs="Calibri"/>
                <w:b/>
                <w:bCs/>
                <w:color w:val="000000"/>
              </w:rPr>
            </w:pPr>
          </w:p>
        </w:tc>
        <w:tc>
          <w:tcPr>
            <w:tcW w:w="1710" w:type="dxa"/>
            <w:tcBorders>
              <w:top w:val="nil"/>
              <w:left w:val="nil"/>
              <w:bottom w:val="single" w:sz="4" w:space="0" w:color="auto"/>
              <w:right w:val="single" w:sz="4" w:space="0" w:color="auto"/>
            </w:tcBorders>
            <w:shd w:val="clear" w:color="000000" w:fill="D9D9D9"/>
            <w:noWrap/>
            <w:vAlign w:val="bottom"/>
            <w:hideMark/>
          </w:tcPr>
          <w:p w14:paraId="24E307C6" w14:textId="7BCBCB70" w:rsidR="007F6A5A" w:rsidRPr="007F6A5A" w:rsidRDefault="007F6A5A" w:rsidP="008571FE">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Net Price</w:t>
            </w:r>
            <w:r w:rsidR="000D7908">
              <w:rPr>
                <w:rStyle w:val="FootnoteReference"/>
                <w:rFonts w:ascii="Calibri" w:eastAsia="Times New Roman" w:hAnsi="Calibri" w:cs="Calibri"/>
                <w:b/>
                <w:bCs/>
                <w:color w:val="000000"/>
              </w:rPr>
              <w:footnoteReference w:id="5"/>
            </w:r>
          </w:p>
        </w:tc>
        <w:tc>
          <w:tcPr>
            <w:tcW w:w="1710" w:type="dxa"/>
            <w:tcBorders>
              <w:top w:val="nil"/>
              <w:left w:val="nil"/>
              <w:bottom w:val="single" w:sz="4" w:space="0" w:color="auto"/>
              <w:right w:val="single" w:sz="4" w:space="0" w:color="auto"/>
            </w:tcBorders>
            <w:shd w:val="clear" w:color="000000" w:fill="D9D9D9"/>
            <w:noWrap/>
            <w:vAlign w:val="bottom"/>
            <w:hideMark/>
          </w:tcPr>
          <w:p w14:paraId="34AE00F6" w14:textId="77777777" w:rsidR="007F6A5A" w:rsidRPr="007F6A5A" w:rsidRDefault="007F6A5A" w:rsidP="008571FE">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 Receiving Pell</w:t>
            </w:r>
          </w:p>
        </w:tc>
      </w:tr>
      <w:tr w:rsidR="007F6A5A" w:rsidRPr="007F6A5A" w14:paraId="74F8D1CA"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CD2E19F" w14:textId="2B038745"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North Carolina - Chapel Hill</w:t>
            </w:r>
          </w:p>
        </w:tc>
        <w:tc>
          <w:tcPr>
            <w:tcW w:w="1710" w:type="dxa"/>
            <w:tcBorders>
              <w:top w:val="nil"/>
              <w:left w:val="nil"/>
              <w:bottom w:val="single" w:sz="4" w:space="0" w:color="auto"/>
              <w:right w:val="single" w:sz="4" w:space="0" w:color="auto"/>
            </w:tcBorders>
            <w:noWrap/>
            <w:vAlign w:val="bottom"/>
            <w:hideMark/>
          </w:tcPr>
          <w:p w14:paraId="356F0220"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$10,154</w:t>
            </w:r>
          </w:p>
        </w:tc>
        <w:tc>
          <w:tcPr>
            <w:tcW w:w="1710" w:type="dxa"/>
            <w:tcBorders>
              <w:top w:val="nil"/>
              <w:left w:val="nil"/>
              <w:bottom w:val="single" w:sz="4" w:space="0" w:color="auto"/>
              <w:right w:val="single" w:sz="4" w:space="0" w:color="auto"/>
            </w:tcBorders>
            <w:noWrap/>
            <w:vAlign w:val="bottom"/>
            <w:hideMark/>
          </w:tcPr>
          <w:p w14:paraId="7EB15AE4"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31BDA123" w14:textId="77777777" w:rsidTr="008571FE">
        <w:trPr>
          <w:trHeight w:val="300"/>
        </w:trPr>
        <w:tc>
          <w:tcPr>
            <w:tcW w:w="4045" w:type="dxa"/>
            <w:tcBorders>
              <w:top w:val="nil"/>
              <w:left w:val="single" w:sz="4" w:space="0" w:color="auto"/>
              <w:bottom w:val="single" w:sz="4" w:space="0" w:color="auto"/>
              <w:right w:val="single" w:sz="4" w:space="0" w:color="auto"/>
            </w:tcBorders>
            <w:shd w:val="clear" w:color="000000" w:fill="E4DFEC"/>
            <w:noWrap/>
            <w:vAlign w:val="bottom"/>
            <w:hideMark/>
          </w:tcPr>
          <w:p w14:paraId="0895210E" w14:textId="5C5A8C7F" w:rsidR="007F6A5A" w:rsidRPr="007F6A5A" w:rsidRDefault="007F6A5A" w:rsidP="007F6A5A">
            <w:pPr>
              <w:spacing w:after="0" w:line="240" w:lineRule="auto"/>
              <w:rPr>
                <w:rFonts w:ascii="Calibri" w:eastAsia="Times New Roman" w:hAnsi="Calibri" w:cs="Calibri"/>
                <w:b/>
                <w:bCs/>
                <w:color w:val="000000"/>
              </w:rPr>
            </w:pPr>
            <w:r>
              <w:rPr>
                <w:rFonts w:ascii="Calibri" w:hAnsi="Calibri" w:cs="Calibri"/>
                <w:b/>
                <w:bCs/>
                <w:color w:val="000000"/>
              </w:rPr>
              <w:t>University of Washington - Seattle</w:t>
            </w:r>
          </w:p>
        </w:tc>
        <w:tc>
          <w:tcPr>
            <w:tcW w:w="1710" w:type="dxa"/>
            <w:tcBorders>
              <w:top w:val="nil"/>
              <w:left w:val="nil"/>
              <w:bottom w:val="single" w:sz="4" w:space="0" w:color="auto"/>
              <w:right w:val="single" w:sz="4" w:space="0" w:color="auto"/>
            </w:tcBorders>
            <w:shd w:val="clear" w:color="000000" w:fill="E4DFEC"/>
            <w:noWrap/>
            <w:vAlign w:val="bottom"/>
            <w:hideMark/>
          </w:tcPr>
          <w:p w14:paraId="34C382F9" w14:textId="77777777" w:rsidR="007F6A5A" w:rsidRPr="007F6A5A" w:rsidRDefault="007F6A5A" w:rsidP="007F6A5A">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$11,784</w:t>
            </w:r>
          </w:p>
        </w:tc>
        <w:tc>
          <w:tcPr>
            <w:tcW w:w="1710" w:type="dxa"/>
            <w:tcBorders>
              <w:top w:val="nil"/>
              <w:left w:val="nil"/>
              <w:bottom w:val="single" w:sz="4" w:space="0" w:color="auto"/>
              <w:right w:val="single" w:sz="4" w:space="0" w:color="auto"/>
            </w:tcBorders>
            <w:shd w:val="clear" w:color="000000" w:fill="E4DFEC"/>
            <w:noWrap/>
            <w:vAlign w:val="bottom"/>
            <w:hideMark/>
          </w:tcPr>
          <w:p w14:paraId="4B846904" w14:textId="77777777" w:rsidR="007F6A5A" w:rsidRPr="007F6A5A" w:rsidRDefault="007F6A5A" w:rsidP="007F6A5A">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15%</w:t>
            </w:r>
          </w:p>
        </w:tc>
      </w:tr>
      <w:tr w:rsidR="007F6A5A" w:rsidRPr="007F6A5A" w14:paraId="319E49AB"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2DB77A8" w14:textId="7C64D766"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Florida</w:t>
            </w:r>
          </w:p>
        </w:tc>
        <w:tc>
          <w:tcPr>
            <w:tcW w:w="1710" w:type="dxa"/>
            <w:tcBorders>
              <w:top w:val="nil"/>
              <w:left w:val="nil"/>
              <w:bottom w:val="single" w:sz="4" w:space="0" w:color="auto"/>
              <w:right w:val="single" w:sz="4" w:space="0" w:color="auto"/>
            </w:tcBorders>
            <w:noWrap/>
            <w:vAlign w:val="bottom"/>
            <w:hideMark/>
          </w:tcPr>
          <w:p w14:paraId="49671678"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$11,936</w:t>
            </w:r>
          </w:p>
        </w:tc>
        <w:tc>
          <w:tcPr>
            <w:tcW w:w="1710" w:type="dxa"/>
            <w:tcBorders>
              <w:top w:val="nil"/>
              <w:left w:val="nil"/>
              <w:bottom w:val="single" w:sz="4" w:space="0" w:color="auto"/>
              <w:right w:val="single" w:sz="4" w:space="0" w:color="auto"/>
            </w:tcBorders>
            <w:noWrap/>
            <w:vAlign w:val="bottom"/>
            <w:hideMark/>
          </w:tcPr>
          <w:p w14:paraId="12D5DD7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22%</w:t>
            </w:r>
          </w:p>
        </w:tc>
      </w:tr>
      <w:tr w:rsidR="007F6A5A" w:rsidRPr="007F6A5A" w14:paraId="18B4B41A"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07CEF61" w14:textId="495C0D51"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Purdue University</w:t>
            </w:r>
          </w:p>
        </w:tc>
        <w:tc>
          <w:tcPr>
            <w:tcW w:w="1710" w:type="dxa"/>
            <w:tcBorders>
              <w:top w:val="nil"/>
              <w:left w:val="nil"/>
              <w:bottom w:val="single" w:sz="4" w:space="0" w:color="auto"/>
              <w:right w:val="single" w:sz="4" w:space="0" w:color="auto"/>
            </w:tcBorders>
            <w:noWrap/>
            <w:vAlign w:val="bottom"/>
            <w:hideMark/>
          </w:tcPr>
          <w:p w14:paraId="1E8F3C4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$13,722</w:t>
            </w:r>
          </w:p>
        </w:tc>
        <w:tc>
          <w:tcPr>
            <w:tcW w:w="1710" w:type="dxa"/>
            <w:tcBorders>
              <w:top w:val="nil"/>
              <w:left w:val="nil"/>
              <w:bottom w:val="single" w:sz="4" w:space="0" w:color="auto"/>
              <w:right w:val="single" w:sz="4" w:space="0" w:color="auto"/>
            </w:tcBorders>
            <w:noWrap/>
            <w:vAlign w:val="bottom"/>
            <w:hideMark/>
          </w:tcPr>
          <w:p w14:paraId="780952A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13%</w:t>
            </w:r>
          </w:p>
        </w:tc>
      </w:tr>
      <w:tr w:rsidR="007F6A5A" w:rsidRPr="007F6A5A" w14:paraId="63C41DEA"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676DFE6B" w14:textId="7B25BCFD"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Illinois - Urbana Champaign</w:t>
            </w:r>
          </w:p>
        </w:tc>
        <w:tc>
          <w:tcPr>
            <w:tcW w:w="1710" w:type="dxa"/>
            <w:tcBorders>
              <w:top w:val="nil"/>
              <w:left w:val="nil"/>
              <w:bottom w:val="single" w:sz="4" w:space="0" w:color="auto"/>
              <w:right w:val="single" w:sz="4" w:space="0" w:color="auto"/>
            </w:tcBorders>
            <w:noWrap/>
            <w:vAlign w:val="bottom"/>
            <w:hideMark/>
          </w:tcPr>
          <w:p w14:paraId="1165D045"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$13,973</w:t>
            </w:r>
          </w:p>
        </w:tc>
        <w:tc>
          <w:tcPr>
            <w:tcW w:w="1710" w:type="dxa"/>
            <w:tcBorders>
              <w:top w:val="nil"/>
              <w:left w:val="nil"/>
              <w:bottom w:val="single" w:sz="4" w:space="0" w:color="auto"/>
              <w:right w:val="single" w:sz="4" w:space="0" w:color="auto"/>
            </w:tcBorders>
            <w:noWrap/>
            <w:vAlign w:val="bottom"/>
            <w:hideMark/>
          </w:tcPr>
          <w:p w14:paraId="09F3A9C2"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23%</w:t>
            </w:r>
          </w:p>
        </w:tc>
      </w:tr>
      <w:tr w:rsidR="007F6A5A" w:rsidRPr="007F6A5A" w14:paraId="68D72F66"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75BC7AD0" w14:textId="3EB05DF5"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California - San Diego</w:t>
            </w:r>
          </w:p>
        </w:tc>
        <w:tc>
          <w:tcPr>
            <w:tcW w:w="1710" w:type="dxa"/>
            <w:tcBorders>
              <w:top w:val="nil"/>
              <w:left w:val="nil"/>
              <w:bottom w:val="single" w:sz="4" w:space="0" w:color="auto"/>
              <w:right w:val="single" w:sz="4" w:space="0" w:color="auto"/>
            </w:tcBorders>
            <w:noWrap/>
            <w:vAlign w:val="bottom"/>
            <w:hideMark/>
          </w:tcPr>
          <w:p w14:paraId="37F4099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$14,047</w:t>
            </w:r>
          </w:p>
        </w:tc>
        <w:tc>
          <w:tcPr>
            <w:tcW w:w="1710" w:type="dxa"/>
            <w:tcBorders>
              <w:top w:val="nil"/>
              <w:left w:val="nil"/>
              <w:bottom w:val="single" w:sz="4" w:space="0" w:color="auto"/>
              <w:right w:val="single" w:sz="4" w:space="0" w:color="auto"/>
            </w:tcBorders>
            <w:noWrap/>
            <w:vAlign w:val="bottom"/>
            <w:hideMark/>
          </w:tcPr>
          <w:p w14:paraId="281FD91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34%</w:t>
            </w:r>
          </w:p>
        </w:tc>
      </w:tr>
      <w:tr w:rsidR="007F6A5A" w:rsidRPr="007F6A5A" w14:paraId="1C4EB3B3"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2424E2C" w14:textId="564F5513"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Wisconsin - Madison</w:t>
            </w:r>
          </w:p>
        </w:tc>
        <w:tc>
          <w:tcPr>
            <w:tcW w:w="1710" w:type="dxa"/>
            <w:tcBorders>
              <w:top w:val="nil"/>
              <w:left w:val="nil"/>
              <w:bottom w:val="single" w:sz="4" w:space="0" w:color="auto"/>
              <w:right w:val="single" w:sz="4" w:space="0" w:color="auto"/>
            </w:tcBorders>
            <w:noWrap/>
            <w:vAlign w:val="bottom"/>
            <w:hideMark/>
          </w:tcPr>
          <w:p w14:paraId="0FE7B2C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$14,235</w:t>
            </w:r>
          </w:p>
        </w:tc>
        <w:tc>
          <w:tcPr>
            <w:tcW w:w="1710" w:type="dxa"/>
            <w:tcBorders>
              <w:top w:val="nil"/>
              <w:left w:val="nil"/>
              <w:bottom w:val="single" w:sz="4" w:space="0" w:color="auto"/>
              <w:right w:val="single" w:sz="4" w:space="0" w:color="auto"/>
            </w:tcBorders>
            <w:noWrap/>
            <w:vAlign w:val="bottom"/>
            <w:hideMark/>
          </w:tcPr>
          <w:p w14:paraId="46C2053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16%</w:t>
            </w:r>
          </w:p>
        </w:tc>
      </w:tr>
      <w:tr w:rsidR="007F6A5A" w:rsidRPr="007F6A5A" w14:paraId="7954373D"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12508DA8" w14:textId="7D15CF31"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California - Los Angeles</w:t>
            </w:r>
          </w:p>
        </w:tc>
        <w:tc>
          <w:tcPr>
            <w:tcW w:w="1710" w:type="dxa"/>
            <w:tcBorders>
              <w:top w:val="nil"/>
              <w:left w:val="nil"/>
              <w:bottom w:val="single" w:sz="4" w:space="0" w:color="auto"/>
              <w:right w:val="single" w:sz="4" w:space="0" w:color="auto"/>
            </w:tcBorders>
            <w:noWrap/>
            <w:vAlign w:val="bottom"/>
            <w:hideMark/>
          </w:tcPr>
          <w:p w14:paraId="5438678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$14,512</w:t>
            </w:r>
          </w:p>
        </w:tc>
        <w:tc>
          <w:tcPr>
            <w:tcW w:w="1710" w:type="dxa"/>
            <w:tcBorders>
              <w:top w:val="nil"/>
              <w:left w:val="nil"/>
              <w:bottom w:val="single" w:sz="4" w:space="0" w:color="auto"/>
              <w:right w:val="single" w:sz="4" w:space="0" w:color="auto"/>
            </w:tcBorders>
            <w:noWrap/>
            <w:vAlign w:val="bottom"/>
            <w:hideMark/>
          </w:tcPr>
          <w:p w14:paraId="12E86AC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28%</w:t>
            </w:r>
          </w:p>
        </w:tc>
      </w:tr>
      <w:tr w:rsidR="007F6A5A" w:rsidRPr="007F6A5A" w14:paraId="20D8A3DF"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ED82A27" w14:textId="3DDD7F47"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California - Irvine</w:t>
            </w:r>
          </w:p>
        </w:tc>
        <w:tc>
          <w:tcPr>
            <w:tcW w:w="1710" w:type="dxa"/>
            <w:tcBorders>
              <w:top w:val="nil"/>
              <w:left w:val="nil"/>
              <w:bottom w:val="single" w:sz="4" w:space="0" w:color="auto"/>
              <w:right w:val="single" w:sz="4" w:space="0" w:color="auto"/>
            </w:tcBorders>
            <w:noWrap/>
            <w:vAlign w:val="bottom"/>
            <w:hideMark/>
          </w:tcPr>
          <w:p w14:paraId="17C10782"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$15,889</w:t>
            </w:r>
          </w:p>
        </w:tc>
        <w:tc>
          <w:tcPr>
            <w:tcW w:w="1710" w:type="dxa"/>
            <w:tcBorders>
              <w:top w:val="nil"/>
              <w:left w:val="nil"/>
              <w:bottom w:val="single" w:sz="4" w:space="0" w:color="auto"/>
              <w:right w:val="single" w:sz="4" w:space="0" w:color="auto"/>
            </w:tcBorders>
            <w:noWrap/>
            <w:vAlign w:val="bottom"/>
            <w:hideMark/>
          </w:tcPr>
          <w:p w14:paraId="6349CA09"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36%</w:t>
            </w:r>
          </w:p>
        </w:tc>
      </w:tr>
      <w:tr w:rsidR="007F6A5A" w:rsidRPr="007F6A5A" w14:paraId="58A43669"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32136B5E" w14:textId="3ACFAD5D"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Georgia Institute of Technology</w:t>
            </w:r>
          </w:p>
        </w:tc>
        <w:tc>
          <w:tcPr>
            <w:tcW w:w="1710" w:type="dxa"/>
            <w:tcBorders>
              <w:top w:val="nil"/>
              <w:left w:val="nil"/>
              <w:bottom w:val="single" w:sz="4" w:space="0" w:color="auto"/>
              <w:right w:val="single" w:sz="4" w:space="0" w:color="auto"/>
            </w:tcBorders>
            <w:noWrap/>
            <w:vAlign w:val="bottom"/>
            <w:hideMark/>
          </w:tcPr>
          <w:p w14:paraId="006A0A4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$15,918</w:t>
            </w:r>
          </w:p>
        </w:tc>
        <w:tc>
          <w:tcPr>
            <w:tcW w:w="1710" w:type="dxa"/>
            <w:tcBorders>
              <w:top w:val="nil"/>
              <w:left w:val="nil"/>
              <w:bottom w:val="single" w:sz="4" w:space="0" w:color="auto"/>
              <w:right w:val="single" w:sz="4" w:space="0" w:color="auto"/>
            </w:tcBorders>
            <w:noWrap/>
            <w:vAlign w:val="bottom"/>
            <w:hideMark/>
          </w:tcPr>
          <w:p w14:paraId="7F180C7E"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w:t>
            </w:r>
          </w:p>
        </w:tc>
      </w:tr>
      <w:tr w:rsidR="007F6A5A" w:rsidRPr="007F6A5A" w14:paraId="6E9C9418"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EC82CF1" w14:textId="109C775E"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California - Berkeley</w:t>
            </w:r>
          </w:p>
        </w:tc>
        <w:tc>
          <w:tcPr>
            <w:tcW w:w="1710" w:type="dxa"/>
            <w:tcBorders>
              <w:top w:val="nil"/>
              <w:left w:val="nil"/>
              <w:bottom w:val="single" w:sz="4" w:space="0" w:color="auto"/>
              <w:right w:val="single" w:sz="4" w:space="0" w:color="auto"/>
            </w:tcBorders>
            <w:noWrap/>
            <w:vAlign w:val="bottom"/>
            <w:hideMark/>
          </w:tcPr>
          <w:p w14:paraId="1B61AC7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$16,538</w:t>
            </w:r>
          </w:p>
        </w:tc>
        <w:tc>
          <w:tcPr>
            <w:tcW w:w="1710" w:type="dxa"/>
            <w:tcBorders>
              <w:top w:val="nil"/>
              <w:left w:val="nil"/>
              <w:bottom w:val="single" w:sz="4" w:space="0" w:color="auto"/>
              <w:right w:val="single" w:sz="4" w:space="0" w:color="auto"/>
            </w:tcBorders>
            <w:noWrap/>
            <w:vAlign w:val="bottom"/>
            <w:hideMark/>
          </w:tcPr>
          <w:p w14:paraId="0D220EC0"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29%</w:t>
            </w:r>
          </w:p>
        </w:tc>
      </w:tr>
      <w:tr w:rsidR="007F6A5A" w:rsidRPr="007F6A5A" w14:paraId="1583C652"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07EA4D57" w14:textId="724BA483"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Maryland - College Park</w:t>
            </w:r>
          </w:p>
        </w:tc>
        <w:tc>
          <w:tcPr>
            <w:tcW w:w="1710" w:type="dxa"/>
            <w:tcBorders>
              <w:top w:val="nil"/>
              <w:left w:val="nil"/>
              <w:bottom w:val="single" w:sz="4" w:space="0" w:color="auto"/>
              <w:right w:val="single" w:sz="4" w:space="0" w:color="auto"/>
            </w:tcBorders>
            <w:noWrap/>
            <w:vAlign w:val="bottom"/>
            <w:hideMark/>
          </w:tcPr>
          <w:p w14:paraId="7D22ABEC"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$16,581</w:t>
            </w:r>
          </w:p>
        </w:tc>
        <w:tc>
          <w:tcPr>
            <w:tcW w:w="1710" w:type="dxa"/>
            <w:tcBorders>
              <w:top w:val="nil"/>
              <w:left w:val="nil"/>
              <w:bottom w:val="single" w:sz="4" w:space="0" w:color="auto"/>
              <w:right w:val="single" w:sz="4" w:space="0" w:color="auto"/>
            </w:tcBorders>
            <w:noWrap/>
            <w:vAlign w:val="bottom"/>
            <w:hideMark/>
          </w:tcPr>
          <w:p w14:paraId="362A72D3"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19%</w:t>
            </w:r>
          </w:p>
        </w:tc>
      </w:tr>
      <w:tr w:rsidR="007F6A5A" w:rsidRPr="007F6A5A" w14:paraId="3E029CAD"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7B5BFE12" w14:textId="49971CC5"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Utah</w:t>
            </w:r>
          </w:p>
        </w:tc>
        <w:tc>
          <w:tcPr>
            <w:tcW w:w="1710" w:type="dxa"/>
            <w:tcBorders>
              <w:top w:val="nil"/>
              <w:left w:val="nil"/>
              <w:bottom w:val="single" w:sz="4" w:space="0" w:color="auto"/>
              <w:right w:val="single" w:sz="4" w:space="0" w:color="auto"/>
            </w:tcBorders>
            <w:noWrap/>
            <w:vAlign w:val="bottom"/>
            <w:hideMark/>
          </w:tcPr>
          <w:p w14:paraId="63A776B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$16,583</w:t>
            </w:r>
          </w:p>
        </w:tc>
        <w:tc>
          <w:tcPr>
            <w:tcW w:w="1710" w:type="dxa"/>
            <w:tcBorders>
              <w:top w:val="nil"/>
              <w:left w:val="nil"/>
              <w:bottom w:val="single" w:sz="4" w:space="0" w:color="auto"/>
              <w:right w:val="single" w:sz="4" w:space="0" w:color="auto"/>
            </w:tcBorders>
            <w:noWrap/>
            <w:vAlign w:val="bottom"/>
            <w:hideMark/>
          </w:tcPr>
          <w:p w14:paraId="2A8150B9"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45ECA708"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05418007" w14:textId="3B894AA9"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Minnesota</w:t>
            </w:r>
          </w:p>
        </w:tc>
        <w:tc>
          <w:tcPr>
            <w:tcW w:w="1710" w:type="dxa"/>
            <w:tcBorders>
              <w:top w:val="nil"/>
              <w:left w:val="nil"/>
              <w:bottom w:val="single" w:sz="4" w:space="0" w:color="auto"/>
              <w:right w:val="single" w:sz="4" w:space="0" w:color="auto"/>
            </w:tcBorders>
            <w:noWrap/>
            <w:vAlign w:val="bottom"/>
            <w:hideMark/>
          </w:tcPr>
          <w:p w14:paraId="242DBD22"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$17,209</w:t>
            </w:r>
          </w:p>
        </w:tc>
        <w:tc>
          <w:tcPr>
            <w:tcW w:w="1710" w:type="dxa"/>
            <w:tcBorders>
              <w:top w:val="nil"/>
              <w:left w:val="nil"/>
              <w:bottom w:val="single" w:sz="4" w:space="0" w:color="auto"/>
              <w:right w:val="single" w:sz="4" w:space="0" w:color="auto"/>
            </w:tcBorders>
            <w:noWrap/>
            <w:vAlign w:val="bottom"/>
            <w:hideMark/>
          </w:tcPr>
          <w:p w14:paraId="09BD8038"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18%</w:t>
            </w:r>
          </w:p>
        </w:tc>
      </w:tr>
      <w:tr w:rsidR="007F6A5A" w:rsidRPr="007F6A5A" w14:paraId="0CD6DB1D"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2D0AAB6" w14:textId="158BFA73"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Indiana University - Bloomington</w:t>
            </w:r>
          </w:p>
        </w:tc>
        <w:tc>
          <w:tcPr>
            <w:tcW w:w="1710" w:type="dxa"/>
            <w:tcBorders>
              <w:top w:val="nil"/>
              <w:left w:val="nil"/>
              <w:bottom w:val="single" w:sz="4" w:space="0" w:color="auto"/>
              <w:right w:val="single" w:sz="4" w:space="0" w:color="auto"/>
            </w:tcBorders>
            <w:noWrap/>
            <w:vAlign w:val="bottom"/>
            <w:hideMark/>
          </w:tcPr>
          <w:p w14:paraId="3C5C870D"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$17,270</w:t>
            </w:r>
          </w:p>
        </w:tc>
        <w:tc>
          <w:tcPr>
            <w:tcW w:w="1710" w:type="dxa"/>
            <w:tcBorders>
              <w:top w:val="nil"/>
              <w:left w:val="nil"/>
              <w:bottom w:val="single" w:sz="4" w:space="0" w:color="auto"/>
              <w:right w:val="single" w:sz="4" w:space="0" w:color="auto"/>
            </w:tcBorders>
            <w:noWrap/>
            <w:vAlign w:val="bottom"/>
            <w:hideMark/>
          </w:tcPr>
          <w:p w14:paraId="44B5C86D"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w:t>
            </w:r>
          </w:p>
        </w:tc>
      </w:tr>
      <w:tr w:rsidR="007F6A5A" w:rsidRPr="007F6A5A" w14:paraId="3801D9D4"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9A08F06" w14:textId="3B47732E"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California - Davis</w:t>
            </w:r>
          </w:p>
        </w:tc>
        <w:tc>
          <w:tcPr>
            <w:tcW w:w="1710" w:type="dxa"/>
            <w:tcBorders>
              <w:top w:val="nil"/>
              <w:left w:val="nil"/>
              <w:bottom w:val="single" w:sz="4" w:space="0" w:color="auto"/>
              <w:right w:val="single" w:sz="4" w:space="0" w:color="auto"/>
            </w:tcBorders>
            <w:noWrap/>
            <w:vAlign w:val="bottom"/>
            <w:hideMark/>
          </w:tcPr>
          <w:p w14:paraId="77317A3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$17,270</w:t>
            </w:r>
          </w:p>
        </w:tc>
        <w:tc>
          <w:tcPr>
            <w:tcW w:w="1710" w:type="dxa"/>
            <w:tcBorders>
              <w:top w:val="nil"/>
              <w:left w:val="nil"/>
              <w:bottom w:val="single" w:sz="4" w:space="0" w:color="auto"/>
              <w:right w:val="single" w:sz="4" w:space="0" w:color="auto"/>
            </w:tcBorders>
            <w:noWrap/>
            <w:vAlign w:val="bottom"/>
            <w:hideMark/>
          </w:tcPr>
          <w:p w14:paraId="402A761C"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31%</w:t>
            </w:r>
          </w:p>
        </w:tc>
      </w:tr>
      <w:tr w:rsidR="007F6A5A" w:rsidRPr="007F6A5A" w14:paraId="5032312D"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3A0E62B2" w14:textId="3EACCC47" w:rsidR="007F6A5A" w:rsidRPr="007F6A5A" w:rsidRDefault="007F6A5A" w:rsidP="007F6A5A">
            <w:pPr>
              <w:spacing w:after="0" w:line="240" w:lineRule="auto"/>
              <w:rPr>
                <w:rFonts w:ascii="Calibri" w:eastAsia="Times New Roman" w:hAnsi="Calibri" w:cs="Calibri"/>
                <w:color w:val="000000"/>
              </w:rPr>
            </w:pPr>
            <w:r>
              <w:rPr>
                <w:rFonts w:ascii="Calibri" w:hAnsi="Calibri" w:cs="Calibri"/>
                <w:color w:val="000000"/>
              </w:rPr>
              <w:t>University of Michigan - Ann Arbor</w:t>
            </w:r>
          </w:p>
        </w:tc>
        <w:tc>
          <w:tcPr>
            <w:tcW w:w="1710" w:type="dxa"/>
            <w:tcBorders>
              <w:top w:val="nil"/>
              <w:left w:val="nil"/>
              <w:bottom w:val="single" w:sz="4" w:space="0" w:color="auto"/>
              <w:right w:val="single" w:sz="4" w:space="0" w:color="auto"/>
            </w:tcBorders>
            <w:noWrap/>
            <w:vAlign w:val="bottom"/>
            <w:hideMark/>
          </w:tcPr>
          <w:p w14:paraId="1135D872"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$17,574</w:t>
            </w:r>
          </w:p>
        </w:tc>
        <w:tc>
          <w:tcPr>
            <w:tcW w:w="1710" w:type="dxa"/>
            <w:tcBorders>
              <w:top w:val="nil"/>
              <w:left w:val="nil"/>
              <w:bottom w:val="single" w:sz="4" w:space="0" w:color="auto"/>
              <w:right w:val="single" w:sz="4" w:space="0" w:color="auto"/>
            </w:tcBorders>
            <w:noWrap/>
            <w:vAlign w:val="bottom"/>
            <w:hideMark/>
          </w:tcPr>
          <w:p w14:paraId="59BD59FD"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18%</w:t>
            </w:r>
          </w:p>
        </w:tc>
      </w:tr>
      <w:tr w:rsidR="007F6A5A" w:rsidRPr="007F6A5A" w14:paraId="298CF922"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30956543" w14:textId="2BB224E8"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University of California -</w:t>
            </w:r>
            <w:r w:rsidR="007F6A5A">
              <w:rPr>
                <w:rFonts w:ascii="Calibri" w:hAnsi="Calibri" w:cs="Calibri"/>
                <w:color w:val="000000"/>
              </w:rPr>
              <w:t xml:space="preserve"> Santa Barbara</w:t>
            </w:r>
          </w:p>
        </w:tc>
        <w:tc>
          <w:tcPr>
            <w:tcW w:w="1710" w:type="dxa"/>
            <w:tcBorders>
              <w:top w:val="nil"/>
              <w:left w:val="nil"/>
              <w:bottom w:val="single" w:sz="4" w:space="0" w:color="auto"/>
              <w:right w:val="single" w:sz="4" w:space="0" w:color="auto"/>
            </w:tcBorders>
            <w:noWrap/>
            <w:vAlign w:val="bottom"/>
            <w:hideMark/>
          </w:tcPr>
          <w:p w14:paraId="2A0205E4"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$17,658</w:t>
            </w:r>
          </w:p>
        </w:tc>
        <w:tc>
          <w:tcPr>
            <w:tcW w:w="1710" w:type="dxa"/>
            <w:tcBorders>
              <w:top w:val="nil"/>
              <w:left w:val="nil"/>
              <w:bottom w:val="single" w:sz="4" w:space="0" w:color="auto"/>
              <w:right w:val="single" w:sz="4" w:space="0" w:color="auto"/>
            </w:tcBorders>
            <w:noWrap/>
            <w:vAlign w:val="bottom"/>
            <w:hideMark/>
          </w:tcPr>
          <w:p w14:paraId="2AA8D1F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28%</w:t>
            </w:r>
          </w:p>
        </w:tc>
      </w:tr>
      <w:tr w:rsidR="007F6A5A" w:rsidRPr="007F6A5A" w14:paraId="4E396033"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03E4A7F" w14:textId="11773D82"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Iowa State University</w:t>
            </w:r>
          </w:p>
        </w:tc>
        <w:tc>
          <w:tcPr>
            <w:tcW w:w="1710" w:type="dxa"/>
            <w:tcBorders>
              <w:top w:val="nil"/>
              <w:left w:val="nil"/>
              <w:bottom w:val="single" w:sz="4" w:space="0" w:color="auto"/>
              <w:right w:val="single" w:sz="4" w:space="0" w:color="auto"/>
            </w:tcBorders>
            <w:noWrap/>
            <w:vAlign w:val="bottom"/>
            <w:hideMark/>
          </w:tcPr>
          <w:p w14:paraId="223A89E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$17,779</w:t>
            </w:r>
          </w:p>
        </w:tc>
        <w:tc>
          <w:tcPr>
            <w:tcW w:w="1710" w:type="dxa"/>
            <w:tcBorders>
              <w:top w:val="nil"/>
              <w:left w:val="nil"/>
              <w:bottom w:val="single" w:sz="4" w:space="0" w:color="auto"/>
              <w:right w:val="single" w:sz="4" w:space="0" w:color="auto"/>
            </w:tcBorders>
            <w:noWrap/>
            <w:vAlign w:val="bottom"/>
            <w:hideMark/>
          </w:tcPr>
          <w:p w14:paraId="3AC90E6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19%</w:t>
            </w:r>
          </w:p>
        </w:tc>
      </w:tr>
      <w:tr w:rsidR="007F6A5A" w:rsidRPr="007F6A5A" w14:paraId="3A4AE7EB"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0A2C70E1" w14:textId="682D83A0"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The University of Texas - Austin</w:t>
            </w:r>
          </w:p>
        </w:tc>
        <w:tc>
          <w:tcPr>
            <w:tcW w:w="1710" w:type="dxa"/>
            <w:tcBorders>
              <w:top w:val="nil"/>
              <w:left w:val="nil"/>
              <w:bottom w:val="single" w:sz="4" w:space="0" w:color="auto"/>
              <w:right w:val="single" w:sz="4" w:space="0" w:color="auto"/>
            </w:tcBorders>
            <w:noWrap/>
            <w:vAlign w:val="bottom"/>
            <w:hideMark/>
          </w:tcPr>
          <w:p w14:paraId="10DFE58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$17,942</w:t>
            </w:r>
          </w:p>
        </w:tc>
        <w:tc>
          <w:tcPr>
            <w:tcW w:w="1710" w:type="dxa"/>
            <w:tcBorders>
              <w:top w:val="nil"/>
              <w:left w:val="nil"/>
              <w:bottom w:val="single" w:sz="4" w:space="0" w:color="auto"/>
              <w:right w:val="single" w:sz="4" w:space="0" w:color="auto"/>
            </w:tcBorders>
            <w:noWrap/>
            <w:vAlign w:val="bottom"/>
            <w:hideMark/>
          </w:tcPr>
          <w:p w14:paraId="7874F794"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26%</w:t>
            </w:r>
          </w:p>
        </w:tc>
      </w:tr>
      <w:tr w:rsidR="007F6A5A" w:rsidRPr="007F6A5A" w14:paraId="70890935"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66B005A6" w14:textId="3A57D9EE"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University of California - Santa Cruz</w:t>
            </w:r>
          </w:p>
        </w:tc>
        <w:tc>
          <w:tcPr>
            <w:tcW w:w="1710" w:type="dxa"/>
            <w:tcBorders>
              <w:top w:val="nil"/>
              <w:left w:val="nil"/>
              <w:bottom w:val="single" w:sz="4" w:space="0" w:color="auto"/>
              <w:right w:val="single" w:sz="4" w:space="0" w:color="auto"/>
            </w:tcBorders>
            <w:noWrap/>
            <w:vAlign w:val="bottom"/>
            <w:hideMark/>
          </w:tcPr>
          <w:p w14:paraId="5CB8D234"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$18,059</w:t>
            </w:r>
          </w:p>
        </w:tc>
        <w:tc>
          <w:tcPr>
            <w:tcW w:w="1710" w:type="dxa"/>
            <w:tcBorders>
              <w:top w:val="nil"/>
              <w:left w:val="nil"/>
              <w:bottom w:val="single" w:sz="4" w:space="0" w:color="auto"/>
              <w:right w:val="single" w:sz="4" w:space="0" w:color="auto"/>
            </w:tcBorders>
            <w:noWrap/>
            <w:vAlign w:val="bottom"/>
            <w:hideMark/>
          </w:tcPr>
          <w:p w14:paraId="3964F14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32%</w:t>
            </w:r>
          </w:p>
        </w:tc>
      </w:tr>
      <w:tr w:rsidR="007F6A5A" w:rsidRPr="007F6A5A" w14:paraId="04194681"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4331CFB" w14:textId="0BDD5374"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University of Virginia - Main Campus</w:t>
            </w:r>
          </w:p>
        </w:tc>
        <w:tc>
          <w:tcPr>
            <w:tcW w:w="1710" w:type="dxa"/>
            <w:tcBorders>
              <w:top w:val="nil"/>
              <w:left w:val="nil"/>
              <w:bottom w:val="single" w:sz="4" w:space="0" w:color="auto"/>
              <w:right w:val="single" w:sz="4" w:space="0" w:color="auto"/>
            </w:tcBorders>
            <w:noWrap/>
            <w:vAlign w:val="bottom"/>
            <w:hideMark/>
          </w:tcPr>
          <w:p w14:paraId="691398D5"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$18,427</w:t>
            </w:r>
          </w:p>
        </w:tc>
        <w:tc>
          <w:tcPr>
            <w:tcW w:w="1710" w:type="dxa"/>
            <w:tcBorders>
              <w:top w:val="nil"/>
              <w:left w:val="nil"/>
              <w:bottom w:val="single" w:sz="4" w:space="0" w:color="auto"/>
              <w:right w:val="single" w:sz="4" w:space="0" w:color="auto"/>
            </w:tcBorders>
            <w:noWrap/>
            <w:vAlign w:val="bottom"/>
            <w:hideMark/>
          </w:tcPr>
          <w:p w14:paraId="2FDB1DF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16%</w:t>
            </w:r>
          </w:p>
        </w:tc>
      </w:tr>
      <w:tr w:rsidR="007F6A5A" w:rsidRPr="007F6A5A" w14:paraId="10CD6A66"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8B27810" w14:textId="30AA8A7C"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University of Arizona</w:t>
            </w:r>
          </w:p>
        </w:tc>
        <w:tc>
          <w:tcPr>
            <w:tcW w:w="1710" w:type="dxa"/>
            <w:tcBorders>
              <w:top w:val="nil"/>
              <w:left w:val="nil"/>
              <w:bottom w:val="single" w:sz="4" w:space="0" w:color="auto"/>
              <w:right w:val="single" w:sz="4" w:space="0" w:color="auto"/>
            </w:tcBorders>
            <w:noWrap/>
            <w:vAlign w:val="bottom"/>
            <w:hideMark/>
          </w:tcPr>
          <w:p w14:paraId="67ADB7F6"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$19,055</w:t>
            </w:r>
          </w:p>
        </w:tc>
        <w:tc>
          <w:tcPr>
            <w:tcW w:w="1710" w:type="dxa"/>
            <w:tcBorders>
              <w:top w:val="nil"/>
              <w:left w:val="nil"/>
              <w:bottom w:val="single" w:sz="4" w:space="0" w:color="auto"/>
              <w:right w:val="single" w:sz="4" w:space="0" w:color="auto"/>
            </w:tcBorders>
            <w:noWrap/>
            <w:vAlign w:val="bottom"/>
            <w:hideMark/>
          </w:tcPr>
          <w:p w14:paraId="0E77463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26%</w:t>
            </w:r>
          </w:p>
        </w:tc>
      </w:tr>
      <w:tr w:rsidR="007F6A5A" w:rsidRPr="007F6A5A" w14:paraId="330F0139"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33778A4C" w14:textId="3D3D3B72" w:rsidR="007F6A5A" w:rsidRPr="007F6A5A" w:rsidRDefault="00FD33AA" w:rsidP="007F6A5A">
            <w:pPr>
              <w:spacing w:after="0" w:line="240" w:lineRule="auto"/>
              <w:rPr>
                <w:rFonts w:ascii="Calibri" w:eastAsia="Times New Roman" w:hAnsi="Calibri" w:cs="Calibri"/>
                <w:color w:val="000000"/>
              </w:rPr>
            </w:pPr>
            <w:r>
              <w:rPr>
                <w:rFonts w:ascii="Calibri" w:hAnsi="Calibri" w:cs="Calibri"/>
                <w:color w:val="000000"/>
              </w:rPr>
              <w:t>University of Kansas</w:t>
            </w:r>
          </w:p>
        </w:tc>
        <w:tc>
          <w:tcPr>
            <w:tcW w:w="1710" w:type="dxa"/>
            <w:tcBorders>
              <w:top w:val="nil"/>
              <w:left w:val="nil"/>
              <w:bottom w:val="single" w:sz="4" w:space="0" w:color="auto"/>
              <w:right w:val="single" w:sz="4" w:space="0" w:color="auto"/>
            </w:tcBorders>
            <w:noWrap/>
            <w:vAlign w:val="bottom"/>
            <w:hideMark/>
          </w:tcPr>
          <w:p w14:paraId="62422417"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$19,205</w:t>
            </w:r>
          </w:p>
        </w:tc>
        <w:tc>
          <w:tcPr>
            <w:tcW w:w="1710" w:type="dxa"/>
            <w:tcBorders>
              <w:top w:val="nil"/>
              <w:left w:val="nil"/>
              <w:bottom w:val="single" w:sz="4" w:space="0" w:color="auto"/>
              <w:right w:val="single" w:sz="4" w:space="0" w:color="auto"/>
            </w:tcBorders>
            <w:noWrap/>
            <w:vAlign w:val="bottom"/>
            <w:hideMark/>
          </w:tcPr>
          <w:p w14:paraId="1E6F68A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74ADD3D1"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61AEBBC6" w14:textId="0A4983C0" w:rsidR="007F6A5A" w:rsidRPr="007F6A5A" w:rsidRDefault="00936141" w:rsidP="007F6A5A">
            <w:pPr>
              <w:spacing w:after="0" w:line="240" w:lineRule="auto"/>
              <w:rPr>
                <w:rFonts w:ascii="Calibri" w:eastAsia="Times New Roman" w:hAnsi="Calibri" w:cs="Calibri"/>
                <w:color w:val="000000"/>
              </w:rPr>
            </w:pPr>
            <w:r>
              <w:rPr>
                <w:rFonts w:ascii="Calibri" w:hAnsi="Calibri" w:cs="Calibri"/>
                <w:color w:val="000000"/>
              </w:rPr>
              <w:lastRenderedPageBreak/>
              <w:t>Ohio State University</w:t>
            </w:r>
          </w:p>
        </w:tc>
        <w:tc>
          <w:tcPr>
            <w:tcW w:w="1710" w:type="dxa"/>
            <w:tcBorders>
              <w:top w:val="nil"/>
              <w:left w:val="nil"/>
              <w:bottom w:val="single" w:sz="4" w:space="0" w:color="auto"/>
              <w:right w:val="single" w:sz="4" w:space="0" w:color="auto"/>
            </w:tcBorders>
            <w:noWrap/>
            <w:vAlign w:val="bottom"/>
            <w:hideMark/>
          </w:tcPr>
          <w:p w14:paraId="5E3C43B8"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$19,783</w:t>
            </w:r>
          </w:p>
        </w:tc>
        <w:tc>
          <w:tcPr>
            <w:tcW w:w="1710" w:type="dxa"/>
            <w:tcBorders>
              <w:top w:val="nil"/>
              <w:left w:val="nil"/>
              <w:bottom w:val="single" w:sz="4" w:space="0" w:color="auto"/>
              <w:right w:val="single" w:sz="4" w:space="0" w:color="auto"/>
            </w:tcBorders>
            <w:noWrap/>
            <w:vAlign w:val="bottom"/>
            <w:hideMark/>
          </w:tcPr>
          <w:p w14:paraId="48FEDE95"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16B4BB29"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4BA3E306" w14:textId="424E13E3" w:rsidR="007F6A5A" w:rsidRPr="007F6A5A" w:rsidRDefault="00936141" w:rsidP="007F6A5A">
            <w:pPr>
              <w:spacing w:after="0" w:line="240" w:lineRule="auto"/>
              <w:rPr>
                <w:rFonts w:ascii="Calibri" w:eastAsia="Times New Roman" w:hAnsi="Calibri" w:cs="Calibri"/>
                <w:color w:val="000000"/>
              </w:rPr>
            </w:pPr>
            <w:r>
              <w:rPr>
                <w:rFonts w:ascii="Calibri" w:hAnsi="Calibri" w:cs="Calibri"/>
                <w:color w:val="000000"/>
              </w:rPr>
              <w:t>Rutgers University - New Brunswick</w:t>
            </w:r>
          </w:p>
        </w:tc>
        <w:tc>
          <w:tcPr>
            <w:tcW w:w="1710" w:type="dxa"/>
            <w:tcBorders>
              <w:top w:val="nil"/>
              <w:left w:val="nil"/>
              <w:bottom w:val="single" w:sz="4" w:space="0" w:color="auto"/>
              <w:right w:val="single" w:sz="4" w:space="0" w:color="auto"/>
            </w:tcBorders>
            <w:noWrap/>
            <w:vAlign w:val="bottom"/>
            <w:hideMark/>
          </w:tcPr>
          <w:p w14:paraId="0045756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$20,522</w:t>
            </w:r>
          </w:p>
        </w:tc>
        <w:tc>
          <w:tcPr>
            <w:tcW w:w="1710" w:type="dxa"/>
            <w:tcBorders>
              <w:top w:val="nil"/>
              <w:left w:val="nil"/>
              <w:bottom w:val="single" w:sz="4" w:space="0" w:color="auto"/>
              <w:right w:val="single" w:sz="4" w:space="0" w:color="auto"/>
            </w:tcBorders>
            <w:noWrap/>
            <w:vAlign w:val="bottom"/>
            <w:hideMark/>
          </w:tcPr>
          <w:p w14:paraId="03B6CBC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28%</w:t>
            </w:r>
          </w:p>
        </w:tc>
      </w:tr>
      <w:tr w:rsidR="007F6A5A" w:rsidRPr="007F6A5A" w14:paraId="546DCE86"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E7CCD47" w14:textId="2553DCFC" w:rsidR="007F6A5A" w:rsidRPr="007F6A5A" w:rsidRDefault="007F6A5A" w:rsidP="007F6A5A">
            <w:pPr>
              <w:spacing w:after="0" w:line="240" w:lineRule="auto"/>
              <w:rPr>
                <w:rFonts w:ascii="Calibri" w:eastAsia="Times New Roman" w:hAnsi="Calibri" w:cs="Calibri"/>
                <w:color w:val="000000"/>
              </w:rPr>
            </w:pPr>
            <w:r w:rsidRPr="007F6A5A">
              <w:rPr>
                <w:rFonts w:ascii="Calibri" w:eastAsia="Times New Roman" w:hAnsi="Calibri" w:cs="Calibri"/>
                <w:color w:val="000000"/>
              </w:rPr>
              <w:t>S</w:t>
            </w:r>
            <w:r w:rsidR="008571FE">
              <w:rPr>
                <w:rFonts w:ascii="Calibri" w:eastAsia="Times New Roman" w:hAnsi="Calibri" w:cs="Calibri"/>
                <w:color w:val="000000"/>
              </w:rPr>
              <w:t xml:space="preserve">tate </w:t>
            </w:r>
            <w:r w:rsidRPr="007F6A5A">
              <w:rPr>
                <w:rFonts w:ascii="Calibri" w:eastAsia="Times New Roman" w:hAnsi="Calibri" w:cs="Calibri"/>
                <w:color w:val="000000"/>
              </w:rPr>
              <w:t>U</w:t>
            </w:r>
            <w:r w:rsidR="008571FE">
              <w:rPr>
                <w:rFonts w:ascii="Calibri" w:eastAsia="Times New Roman" w:hAnsi="Calibri" w:cs="Calibri"/>
                <w:color w:val="000000"/>
              </w:rPr>
              <w:t xml:space="preserve">niversity of </w:t>
            </w:r>
            <w:r w:rsidRPr="007F6A5A">
              <w:rPr>
                <w:rFonts w:ascii="Calibri" w:eastAsia="Times New Roman" w:hAnsi="Calibri" w:cs="Calibri"/>
                <w:color w:val="000000"/>
              </w:rPr>
              <w:t>N</w:t>
            </w:r>
            <w:r w:rsidR="008571FE">
              <w:rPr>
                <w:rFonts w:ascii="Calibri" w:eastAsia="Times New Roman" w:hAnsi="Calibri" w:cs="Calibri"/>
                <w:color w:val="000000"/>
              </w:rPr>
              <w:t xml:space="preserve">ew </w:t>
            </w:r>
            <w:r w:rsidRPr="007F6A5A">
              <w:rPr>
                <w:rFonts w:ascii="Calibri" w:eastAsia="Times New Roman" w:hAnsi="Calibri" w:cs="Calibri"/>
                <w:color w:val="000000"/>
              </w:rPr>
              <w:t>Y</w:t>
            </w:r>
            <w:r w:rsidR="008571FE">
              <w:rPr>
                <w:rFonts w:ascii="Calibri" w:eastAsia="Times New Roman" w:hAnsi="Calibri" w:cs="Calibri"/>
                <w:color w:val="000000"/>
              </w:rPr>
              <w:t xml:space="preserve">ork </w:t>
            </w:r>
            <w:r w:rsidRPr="007F6A5A">
              <w:rPr>
                <w:rFonts w:ascii="Calibri" w:eastAsia="Times New Roman" w:hAnsi="Calibri" w:cs="Calibri"/>
                <w:color w:val="000000"/>
              </w:rPr>
              <w:t>-</w:t>
            </w:r>
            <w:r w:rsidR="008571FE">
              <w:rPr>
                <w:rFonts w:ascii="Calibri" w:eastAsia="Times New Roman" w:hAnsi="Calibri" w:cs="Calibri"/>
                <w:color w:val="000000"/>
              </w:rPr>
              <w:t xml:space="preserve"> </w:t>
            </w:r>
            <w:r w:rsidRPr="007F6A5A">
              <w:rPr>
                <w:rFonts w:ascii="Calibri" w:eastAsia="Times New Roman" w:hAnsi="Calibri" w:cs="Calibri"/>
                <w:color w:val="000000"/>
              </w:rPr>
              <w:t>Buffalo</w:t>
            </w:r>
          </w:p>
        </w:tc>
        <w:tc>
          <w:tcPr>
            <w:tcW w:w="1710" w:type="dxa"/>
            <w:tcBorders>
              <w:top w:val="nil"/>
              <w:left w:val="nil"/>
              <w:bottom w:val="single" w:sz="4" w:space="0" w:color="auto"/>
              <w:right w:val="single" w:sz="4" w:space="0" w:color="auto"/>
            </w:tcBorders>
            <w:noWrap/>
            <w:vAlign w:val="bottom"/>
            <w:hideMark/>
          </w:tcPr>
          <w:p w14:paraId="46B662D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$20,529</w:t>
            </w:r>
          </w:p>
        </w:tc>
        <w:tc>
          <w:tcPr>
            <w:tcW w:w="1710" w:type="dxa"/>
            <w:tcBorders>
              <w:top w:val="nil"/>
              <w:left w:val="nil"/>
              <w:bottom w:val="single" w:sz="4" w:space="0" w:color="auto"/>
              <w:right w:val="single" w:sz="4" w:space="0" w:color="auto"/>
            </w:tcBorders>
            <w:noWrap/>
            <w:vAlign w:val="bottom"/>
            <w:hideMark/>
          </w:tcPr>
          <w:p w14:paraId="5DF9D503"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33%</w:t>
            </w:r>
          </w:p>
        </w:tc>
      </w:tr>
      <w:tr w:rsidR="007F6A5A" w:rsidRPr="007F6A5A" w14:paraId="30C2E7C1"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1398BCE1" w14:textId="6EB37030" w:rsidR="007F6A5A" w:rsidRPr="007F6A5A" w:rsidRDefault="008571FE" w:rsidP="007F6A5A">
            <w:pPr>
              <w:spacing w:after="0" w:line="240" w:lineRule="auto"/>
              <w:rPr>
                <w:rFonts w:ascii="Calibri" w:eastAsia="Times New Roman" w:hAnsi="Calibri" w:cs="Calibri"/>
                <w:color w:val="000000"/>
              </w:rPr>
            </w:pPr>
            <w:r w:rsidRPr="007F6A5A">
              <w:rPr>
                <w:rFonts w:ascii="Calibri" w:eastAsia="Times New Roman" w:hAnsi="Calibri" w:cs="Calibri"/>
                <w:color w:val="000000"/>
              </w:rPr>
              <w:t>S</w:t>
            </w:r>
            <w:r>
              <w:rPr>
                <w:rFonts w:ascii="Calibri" w:eastAsia="Times New Roman" w:hAnsi="Calibri" w:cs="Calibri"/>
                <w:color w:val="000000"/>
              </w:rPr>
              <w:t xml:space="preserve">tate </w:t>
            </w:r>
            <w:r w:rsidRPr="007F6A5A">
              <w:rPr>
                <w:rFonts w:ascii="Calibri" w:eastAsia="Times New Roman" w:hAnsi="Calibri" w:cs="Calibri"/>
                <w:color w:val="000000"/>
              </w:rPr>
              <w:t>U</w:t>
            </w:r>
            <w:r>
              <w:rPr>
                <w:rFonts w:ascii="Calibri" w:eastAsia="Times New Roman" w:hAnsi="Calibri" w:cs="Calibri"/>
                <w:color w:val="000000"/>
              </w:rPr>
              <w:t xml:space="preserve">niversity of </w:t>
            </w:r>
            <w:r w:rsidRPr="007F6A5A">
              <w:rPr>
                <w:rFonts w:ascii="Calibri" w:eastAsia="Times New Roman" w:hAnsi="Calibri" w:cs="Calibri"/>
                <w:color w:val="000000"/>
              </w:rPr>
              <w:t>N</w:t>
            </w:r>
            <w:r>
              <w:rPr>
                <w:rFonts w:ascii="Calibri" w:eastAsia="Times New Roman" w:hAnsi="Calibri" w:cs="Calibri"/>
                <w:color w:val="000000"/>
              </w:rPr>
              <w:t xml:space="preserve">ew </w:t>
            </w:r>
            <w:r w:rsidRPr="007F6A5A">
              <w:rPr>
                <w:rFonts w:ascii="Calibri" w:eastAsia="Times New Roman" w:hAnsi="Calibri" w:cs="Calibri"/>
                <w:color w:val="000000"/>
              </w:rPr>
              <w:t>Y</w:t>
            </w:r>
            <w:r>
              <w:rPr>
                <w:rFonts w:ascii="Calibri" w:eastAsia="Times New Roman" w:hAnsi="Calibri" w:cs="Calibri"/>
                <w:color w:val="000000"/>
              </w:rPr>
              <w:t xml:space="preserve">ork </w:t>
            </w:r>
            <w:r w:rsidR="007F6A5A" w:rsidRPr="007F6A5A">
              <w:rPr>
                <w:rFonts w:ascii="Calibri" w:eastAsia="Times New Roman" w:hAnsi="Calibri" w:cs="Calibri"/>
                <w:color w:val="000000"/>
              </w:rPr>
              <w:t>-</w:t>
            </w:r>
            <w:r>
              <w:rPr>
                <w:rFonts w:ascii="Calibri" w:eastAsia="Times New Roman" w:hAnsi="Calibri" w:cs="Calibri"/>
                <w:color w:val="000000"/>
              </w:rPr>
              <w:t xml:space="preserve"> </w:t>
            </w:r>
            <w:r w:rsidR="007F6A5A" w:rsidRPr="007F6A5A">
              <w:rPr>
                <w:rFonts w:ascii="Calibri" w:eastAsia="Times New Roman" w:hAnsi="Calibri" w:cs="Calibri"/>
                <w:color w:val="000000"/>
              </w:rPr>
              <w:t>Stony Brook</w:t>
            </w:r>
          </w:p>
        </w:tc>
        <w:tc>
          <w:tcPr>
            <w:tcW w:w="1710" w:type="dxa"/>
            <w:tcBorders>
              <w:top w:val="nil"/>
              <w:left w:val="nil"/>
              <w:bottom w:val="single" w:sz="4" w:space="0" w:color="auto"/>
              <w:right w:val="single" w:sz="4" w:space="0" w:color="auto"/>
            </w:tcBorders>
            <w:noWrap/>
            <w:vAlign w:val="bottom"/>
            <w:hideMark/>
          </w:tcPr>
          <w:p w14:paraId="76E80583"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$20,992</w:t>
            </w:r>
          </w:p>
        </w:tc>
        <w:tc>
          <w:tcPr>
            <w:tcW w:w="1710" w:type="dxa"/>
            <w:tcBorders>
              <w:top w:val="nil"/>
              <w:left w:val="nil"/>
              <w:bottom w:val="single" w:sz="4" w:space="0" w:color="auto"/>
              <w:right w:val="single" w:sz="4" w:space="0" w:color="auto"/>
            </w:tcBorders>
            <w:noWrap/>
            <w:vAlign w:val="bottom"/>
            <w:hideMark/>
          </w:tcPr>
          <w:p w14:paraId="3E2872A5"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39%</w:t>
            </w:r>
          </w:p>
        </w:tc>
      </w:tr>
      <w:tr w:rsidR="007F6A5A" w:rsidRPr="007F6A5A" w14:paraId="3C23A35E"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4041995A" w14:textId="4EB7AC98"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Texas A&amp;M University - College Station</w:t>
            </w:r>
          </w:p>
        </w:tc>
        <w:tc>
          <w:tcPr>
            <w:tcW w:w="1710" w:type="dxa"/>
            <w:tcBorders>
              <w:top w:val="nil"/>
              <w:left w:val="nil"/>
              <w:bottom w:val="single" w:sz="4" w:space="0" w:color="auto"/>
              <w:right w:val="single" w:sz="4" w:space="0" w:color="auto"/>
            </w:tcBorders>
            <w:noWrap/>
            <w:vAlign w:val="bottom"/>
            <w:hideMark/>
          </w:tcPr>
          <w:p w14:paraId="23E9A07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$21,437</w:t>
            </w:r>
          </w:p>
        </w:tc>
        <w:tc>
          <w:tcPr>
            <w:tcW w:w="1710" w:type="dxa"/>
            <w:tcBorders>
              <w:top w:val="nil"/>
              <w:left w:val="nil"/>
              <w:bottom w:val="single" w:sz="4" w:space="0" w:color="auto"/>
              <w:right w:val="single" w:sz="4" w:space="0" w:color="auto"/>
            </w:tcBorders>
            <w:noWrap/>
            <w:vAlign w:val="bottom"/>
            <w:hideMark/>
          </w:tcPr>
          <w:p w14:paraId="54BEF0AB"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0B1273AE"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3E3F1F6C" w14:textId="618CBD30"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University of Iowa</w:t>
            </w:r>
          </w:p>
        </w:tc>
        <w:tc>
          <w:tcPr>
            <w:tcW w:w="1710" w:type="dxa"/>
            <w:tcBorders>
              <w:top w:val="nil"/>
              <w:left w:val="nil"/>
              <w:bottom w:val="single" w:sz="4" w:space="0" w:color="auto"/>
              <w:right w:val="single" w:sz="4" w:space="0" w:color="auto"/>
            </w:tcBorders>
            <w:noWrap/>
            <w:vAlign w:val="bottom"/>
            <w:hideMark/>
          </w:tcPr>
          <w:p w14:paraId="154A0211"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$21,765</w:t>
            </w:r>
          </w:p>
        </w:tc>
        <w:tc>
          <w:tcPr>
            <w:tcW w:w="1710" w:type="dxa"/>
            <w:tcBorders>
              <w:top w:val="nil"/>
              <w:left w:val="nil"/>
              <w:bottom w:val="single" w:sz="4" w:space="0" w:color="auto"/>
              <w:right w:val="single" w:sz="4" w:space="0" w:color="auto"/>
            </w:tcBorders>
            <w:noWrap/>
            <w:vAlign w:val="bottom"/>
            <w:hideMark/>
          </w:tcPr>
          <w:p w14:paraId="533DF5FB"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18%</w:t>
            </w:r>
          </w:p>
        </w:tc>
      </w:tr>
      <w:tr w:rsidR="007F6A5A" w:rsidRPr="007F6A5A" w14:paraId="0292F7BF"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DEC975A" w14:textId="733606E2"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University of Missouri - Columbia</w:t>
            </w:r>
          </w:p>
        </w:tc>
        <w:tc>
          <w:tcPr>
            <w:tcW w:w="1710" w:type="dxa"/>
            <w:tcBorders>
              <w:top w:val="nil"/>
              <w:left w:val="nil"/>
              <w:bottom w:val="single" w:sz="4" w:space="0" w:color="auto"/>
              <w:right w:val="single" w:sz="4" w:space="0" w:color="auto"/>
            </w:tcBorders>
            <w:noWrap/>
            <w:vAlign w:val="bottom"/>
            <w:hideMark/>
          </w:tcPr>
          <w:p w14:paraId="2C01EA32"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$22,169</w:t>
            </w:r>
          </w:p>
        </w:tc>
        <w:tc>
          <w:tcPr>
            <w:tcW w:w="1710" w:type="dxa"/>
            <w:tcBorders>
              <w:top w:val="nil"/>
              <w:left w:val="nil"/>
              <w:bottom w:val="single" w:sz="4" w:space="0" w:color="auto"/>
              <w:right w:val="single" w:sz="4" w:space="0" w:color="auto"/>
            </w:tcBorders>
            <w:noWrap/>
            <w:vAlign w:val="bottom"/>
            <w:hideMark/>
          </w:tcPr>
          <w:p w14:paraId="6082520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07F152C3"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B371C3F" w14:textId="399213E0"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Michigan State University</w:t>
            </w:r>
          </w:p>
        </w:tc>
        <w:tc>
          <w:tcPr>
            <w:tcW w:w="1710" w:type="dxa"/>
            <w:tcBorders>
              <w:top w:val="nil"/>
              <w:left w:val="nil"/>
              <w:bottom w:val="single" w:sz="4" w:space="0" w:color="auto"/>
              <w:right w:val="single" w:sz="4" w:space="0" w:color="auto"/>
            </w:tcBorders>
            <w:noWrap/>
            <w:vAlign w:val="bottom"/>
            <w:hideMark/>
          </w:tcPr>
          <w:p w14:paraId="66EAC825"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$23,657</w:t>
            </w:r>
          </w:p>
        </w:tc>
        <w:tc>
          <w:tcPr>
            <w:tcW w:w="1710" w:type="dxa"/>
            <w:tcBorders>
              <w:top w:val="nil"/>
              <w:left w:val="nil"/>
              <w:bottom w:val="single" w:sz="4" w:space="0" w:color="auto"/>
              <w:right w:val="single" w:sz="4" w:space="0" w:color="auto"/>
            </w:tcBorders>
            <w:noWrap/>
            <w:vAlign w:val="bottom"/>
            <w:hideMark/>
          </w:tcPr>
          <w:p w14:paraId="580D0E7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20%</w:t>
            </w:r>
          </w:p>
        </w:tc>
      </w:tr>
      <w:tr w:rsidR="007F6A5A" w:rsidRPr="007F6A5A" w14:paraId="77164B14"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000C0A8" w14:textId="5220A954"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University of Oregon</w:t>
            </w:r>
          </w:p>
        </w:tc>
        <w:tc>
          <w:tcPr>
            <w:tcW w:w="1710" w:type="dxa"/>
            <w:tcBorders>
              <w:top w:val="nil"/>
              <w:left w:val="nil"/>
              <w:bottom w:val="single" w:sz="4" w:space="0" w:color="auto"/>
              <w:right w:val="single" w:sz="4" w:space="0" w:color="auto"/>
            </w:tcBorders>
            <w:noWrap/>
            <w:vAlign w:val="bottom"/>
            <w:hideMark/>
          </w:tcPr>
          <w:p w14:paraId="4C864F2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$24,605</w:t>
            </w:r>
          </w:p>
        </w:tc>
        <w:tc>
          <w:tcPr>
            <w:tcW w:w="1710" w:type="dxa"/>
            <w:tcBorders>
              <w:top w:val="nil"/>
              <w:left w:val="nil"/>
              <w:bottom w:val="single" w:sz="4" w:space="0" w:color="auto"/>
              <w:right w:val="single" w:sz="4" w:space="0" w:color="auto"/>
            </w:tcBorders>
            <w:noWrap/>
            <w:vAlign w:val="bottom"/>
            <w:hideMark/>
          </w:tcPr>
          <w:p w14:paraId="5797D6BF"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21%</w:t>
            </w:r>
          </w:p>
        </w:tc>
      </w:tr>
      <w:tr w:rsidR="007F6A5A" w:rsidRPr="007F6A5A" w14:paraId="321B4D36"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2D4B3B79" w14:textId="1B49E138"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University of Pittsburgh - Pittsburgh</w:t>
            </w:r>
          </w:p>
        </w:tc>
        <w:tc>
          <w:tcPr>
            <w:tcW w:w="1710" w:type="dxa"/>
            <w:tcBorders>
              <w:top w:val="nil"/>
              <w:left w:val="nil"/>
              <w:bottom w:val="single" w:sz="4" w:space="0" w:color="auto"/>
              <w:right w:val="single" w:sz="4" w:space="0" w:color="auto"/>
            </w:tcBorders>
            <w:noWrap/>
            <w:vAlign w:val="bottom"/>
            <w:hideMark/>
          </w:tcPr>
          <w:p w14:paraId="08B515BA"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$25,223</w:t>
            </w:r>
          </w:p>
        </w:tc>
        <w:tc>
          <w:tcPr>
            <w:tcW w:w="1710" w:type="dxa"/>
            <w:tcBorders>
              <w:top w:val="nil"/>
              <w:left w:val="nil"/>
              <w:bottom w:val="single" w:sz="4" w:space="0" w:color="auto"/>
              <w:right w:val="single" w:sz="4" w:space="0" w:color="auto"/>
            </w:tcBorders>
            <w:noWrap/>
            <w:vAlign w:val="bottom"/>
            <w:hideMark/>
          </w:tcPr>
          <w:p w14:paraId="260F401D"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w:t>
            </w:r>
          </w:p>
        </w:tc>
      </w:tr>
      <w:tr w:rsidR="007F6A5A" w:rsidRPr="007F6A5A" w14:paraId="511AE702"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5C6DDEB1" w14:textId="44B5CECA"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University of Colorado - Boulder</w:t>
            </w:r>
          </w:p>
        </w:tc>
        <w:tc>
          <w:tcPr>
            <w:tcW w:w="1710" w:type="dxa"/>
            <w:tcBorders>
              <w:top w:val="nil"/>
              <w:left w:val="nil"/>
              <w:bottom w:val="single" w:sz="4" w:space="0" w:color="auto"/>
              <w:right w:val="single" w:sz="4" w:space="0" w:color="auto"/>
            </w:tcBorders>
            <w:noWrap/>
            <w:vAlign w:val="bottom"/>
            <w:hideMark/>
          </w:tcPr>
          <w:p w14:paraId="3820080D"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$26,231</w:t>
            </w:r>
          </w:p>
        </w:tc>
        <w:tc>
          <w:tcPr>
            <w:tcW w:w="1710" w:type="dxa"/>
            <w:tcBorders>
              <w:top w:val="nil"/>
              <w:left w:val="nil"/>
              <w:bottom w:val="single" w:sz="4" w:space="0" w:color="auto"/>
              <w:right w:val="single" w:sz="4" w:space="0" w:color="auto"/>
            </w:tcBorders>
            <w:noWrap/>
            <w:vAlign w:val="bottom"/>
            <w:hideMark/>
          </w:tcPr>
          <w:p w14:paraId="3FE1B649"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w:t>
            </w:r>
          </w:p>
        </w:tc>
      </w:tr>
      <w:tr w:rsidR="007F6A5A" w:rsidRPr="007F6A5A" w14:paraId="5494F673" w14:textId="77777777" w:rsidTr="008571FE">
        <w:trPr>
          <w:trHeight w:val="300"/>
        </w:trPr>
        <w:tc>
          <w:tcPr>
            <w:tcW w:w="4045" w:type="dxa"/>
            <w:tcBorders>
              <w:top w:val="nil"/>
              <w:left w:val="single" w:sz="4" w:space="0" w:color="auto"/>
              <w:bottom w:val="single" w:sz="4" w:space="0" w:color="auto"/>
              <w:right w:val="single" w:sz="4" w:space="0" w:color="auto"/>
            </w:tcBorders>
            <w:noWrap/>
            <w:vAlign w:val="bottom"/>
            <w:hideMark/>
          </w:tcPr>
          <w:p w14:paraId="101D256D" w14:textId="36C663F9" w:rsidR="007F6A5A" w:rsidRPr="007F6A5A" w:rsidRDefault="004B6E01" w:rsidP="007F6A5A">
            <w:pPr>
              <w:spacing w:after="0" w:line="240" w:lineRule="auto"/>
              <w:rPr>
                <w:rFonts w:ascii="Calibri" w:eastAsia="Times New Roman" w:hAnsi="Calibri" w:cs="Calibri"/>
                <w:color w:val="000000"/>
              </w:rPr>
            </w:pPr>
            <w:r>
              <w:rPr>
                <w:rFonts w:ascii="Calibri" w:hAnsi="Calibri" w:cs="Calibri"/>
                <w:color w:val="000000"/>
              </w:rPr>
              <w:t>Penn State University</w:t>
            </w:r>
          </w:p>
        </w:tc>
        <w:tc>
          <w:tcPr>
            <w:tcW w:w="1710" w:type="dxa"/>
            <w:tcBorders>
              <w:top w:val="nil"/>
              <w:left w:val="nil"/>
              <w:bottom w:val="single" w:sz="4" w:space="0" w:color="auto"/>
              <w:right w:val="single" w:sz="4" w:space="0" w:color="auto"/>
            </w:tcBorders>
            <w:noWrap/>
            <w:vAlign w:val="bottom"/>
            <w:hideMark/>
          </w:tcPr>
          <w:p w14:paraId="0CF9E12B"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$27,889</w:t>
            </w:r>
          </w:p>
        </w:tc>
        <w:tc>
          <w:tcPr>
            <w:tcW w:w="1710" w:type="dxa"/>
            <w:tcBorders>
              <w:top w:val="nil"/>
              <w:left w:val="nil"/>
              <w:bottom w:val="single" w:sz="4" w:space="0" w:color="auto"/>
              <w:right w:val="single" w:sz="4" w:space="0" w:color="auto"/>
            </w:tcBorders>
            <w:noWrap/>
            <w:vAlign w:val="bottom"/>
            <w:hideMark/>
          </w:tcPr>
          <w:p w14:paraId="693FEDDC" w14:textId="77777777" w:rsidR="007F6A5A" w:rsidRPr="007F6A5A" w:rsidRDefault="007F6A5A" w:rsidP="007F6A5A">
            <w:pPr>
              <w:spacing w:after="0" w:line="240" w:lineRule="auto"/>
              <w:jc w:val="center"/>
              <w:rPr>
                <w:rFonts w:ascii="Calibri" w:eastAsia="Times New Roman" w:hAnsi="Calibri" w:cs="Calibri"/>
                <w:color w:val="000000"/>
              </w:rPr>
            </w:pPr>
            <w:r w:rsidRPr="007F6A5A">
              <w:rPr>
                <w:rFonts w:ascii="Calibri" w:eastAsia="Times New Roman" w:hAnsi="Calibri" w:cs="Calibri"/>
                <w:color w:val="000000"/>
              </w:rPr>
              <w:t>14%</w:t>
            </w:r>
          </w:p>
        </w:tc>
      </w:tr>
      <w:tr w:rsidR="007F6A5A" w:rsidRPr="007F6A5A" w14:paraId="4C5CCD96" w14:textId="77777777" w:rsidTr="008571FE">
        <w:trPr>
          <w:trHeight w:val="300"/>
        </w:trPr>
        <w:tc>
          <w:tcPr>
            <w:tcW w:w="4045" w:type="dxa"/>
            <w:tcBorders>
              <w:top w:val="nil"/>
              <w:left w:val="single" w:sz="4" w:space="0" w:color="auto"/>
              <w:bottom w:val="single" w:sz="4" w:space="0" w:color="auto"/>
              <w:right w:val="single" w:sz="4" w:space="0" w:color="auto"/>
            </w:tcBorders>
            <w:shd w:val="clear" w:color="000000" w:fill="E4DFEC"/>
            <w:noWrap/>
            <w:vAlign w:val="bottom"/>
            <w:hideMark/>
          </w:tcPr>
          <w:p w14:paraId="71BF7856" w14:textId="77777777" w:rsidR="007F6A5A" w:rsidRPr="007F6A5A" w:rsidRDefault="007F6A5A" w:rsidP="007F6A5A">
            <w:pPr>
              <w:spacing w:after="0" w:line="240" w:lineRule="auto"/>
              <w:rPr>
                <w:rFonts w:ascii="Calibri" w:eastAsia="Times New Roman" w:hAnsi="Calibri" w:cs="Calibri"/>
                <w:b/>
                <w:bCs/>
                <w:color w:val="000000"/>
              </w:rPr>
            </w:pPr>
            <w:r w:rsidRPr="007F6A5A">
              <w:rPr>
                <w:rFonts w:ascii="Calibri" w:eastAsia="Times New Roman" w:hAnsi="Calibri" w:cs="Calibri"/>
                <w:b/>
                <w:bCs/>
                <w:color w:val="000000"/>
              </w:rPr>
              <w:t>AAU Peer Average</w:t>
            </w:r>
          </w:p>
        </w:tc>
        <w:tc>
          <w:tcPr>
            <w:tcW w:w="1710" w:type="dxa"/>
            <w:tcBorders>
              <w:top w:val="nil"/>
              <w:left w:val="nil"/>
              <w:bottom w:val="single" w:sz="4" w:space="0" w:color="auto"/>
              <w:right w:val="single" w:sz="4" w:space="0" w:color="auto"/>
            </w:tcBorders>
            <w:shd w:val="clear" w:color="000000" w:fill="E4DFEC"/>
            <w:noWrap/>
            <w:vAlign w:val="bottom"/>
            <w:hideMark/>
          </w:tcPr>
          <w:p w14:paraId="24428A55" w14:textId="77777777" w:rsidR="007F6A5A" w:rsidRPr="007F6A5A" w:rsidRDefault="007F6A5A" w:rsidP="007F6A5A">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$15,554</w:t>
            </w:r>
          </w:p>
        </w:tc>
        <w:tc>
          <w:tcPr>
            <w:tcW w:w="1710" w:type="dxa"/>
            <w:tcBorders>
              <w:top w:val="nil"/>
              <w:left w:val="nil"/>
              <w:bottom w:val="single" w:sz="4" w:space="0" w:color="auto"/>
              <w:right w:val="single" w:sz="4" w:space="0" w:color="auto"/>
            </w:tcBorders>
            <w:shd w:val="clear" w:color="000000" w:fill="E4DFEC"/>
            <w:noWrap/>
            <w:vAlign w:val="bottom"/>
            <w:hideMark/>
          </w:tcPr>
          <w:p w14:paraId="27C1AED4" w14:textId="77777777" w:rsidR="007F6A5A" w:rsidRPr="007F6A5A" w:rsidRDefault="007F6A5A" w:rsidP="007F6A5A">
            <w:pPr>
              <w:spacing w:after="0" w:line="240" w:lineRule="auto"/>
              <w:jc w:val="center"/>
              <w:rPr>
                <w:rFonts w:ascii="Calibri" w:eastAsia="Times New Roman" w:hAnsi="Calibri" w:cs="Calibri"/>
                <w:b/>
                <w:bCs/>
                <w:color w:val="000000"/>
              </w:rPr>
            </w:pPr>
            <w:r w:rsidRPr="007F6A5A">
              <w:rPr>
                <w:rFonts w:ascii="Calibri" w:eastAsia="Times New Roman" w:hAnsi="Calibri" w:cs="Calibri"/>
                <w:b/>
                <w:bCs/>
                <w:color w:val="000000"/>
              </w:rPr>
              <w:t>23%</w:t>
            </w:r>
          </w:p>
        </w:tc>
      </w:tr>
    </w:tbl>
    <w:p w14:paraId="6C314A28" w14:textId="312740AC" w:rsidR="00976484" w:rsidRPr="008F4680" w:rsidRDefault="7FCAEE00" w:rsidP="364BA296">
      <w:pPr>
        <w:spacing w:before="240" w:after="160" w:line="259" w:lineRule="auto"/>
        <w:ind w:right="360"/>
      </w:pPr>
      <w:r w:rsidRPr="364BA296">
        <w:t>Variations in net price from year to year are due to many factors, including changes in tuition, fees, financial aid, and other aspects of student budgets. Overall, other components of student budgets (books, transportation, personal expenses) have not changed significantly, and the UW has kept its commitment to institutional aid and to keeping mandatory fees and other expenses low. These factors have allowed the UW in Seattle’s net price to remain relatively stable and below peer institutions.</w:t>
      </w:r>
    </w:p>
    <w:sectPr w:rsidR="00976484" w:rsidRPr="008F4680" w:rsidSect="002D27DD">
      <w:headerReference w:type="default" r:id="rId16"/>
      <w:footerReference w:type="default" r:id="rId17"/>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7B56" w14:textId="77777777" w:rsidR="00BA36F3" w:rsidRDefault="00BA36F3" w:rsidP="00C57B2B">
      <w:pPr>
        <w:spacing w:after="0" w:line="240" w:lineRule="auto"/>
      </w:pPr>
      <w:r>
        <w:separator/>
      </w:r>
    </w:p>
  </w:endnote>
  <w:endnote w:type="continuationSeparator" w:id="0">
    <w:p w14:paraId="16904A02" w14:textId="77777777" w:rsidR="00BA36F3" w:rsidRDefault="00BA36F3" w:rsidP="00C57B2B">
      <w:pPr>
        <w:spacing w:after="0" w:line="240" w:lineRule="auto"/>
      </w:pPr>
      <w:r>
        <w:continuationSeparator/>
      </w:r>
    </w:p>
  </w:endnote>
  <w:endnote w:type="continuationNotice" w:id="1">
    <w:p w14:paraId="53321A1C" w14:textId="77777777" w:rsidR="00BA36F3" w:rsidRDefault="00BA3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trix II OT Book">
    <w:altName w:val="Calibri"/>
    <w:panose1 w:val="00000000000000000000"/>
    <w:charset w:val="00"/>
    <w:family w:val="modern"/>
    <w:notTrueType/>
    <w:pitch w:val="variable"/>
    <w:sig w:usb0="800000AF" w:usb1="400004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Look w:val="04A0" w:firstRow="1" w:lastRow="0" w:firstColumn="1" w:lastColumn="0" w:noHBand="0" w:noVBand="1"/>
    </w:tblPr>
    <w:tblGrid>
      <w:gridCol w:w="5364"/>
      <w:gridCol w:w="5436"/>
    </w:tblGrid>
    <w:tr w:rsidR="007A23AE" w14:paraId="5397A103" w14:textId="77777777" w:rsidTr="00126FC4">
      <w:trPr>
        <w:trHeight w:val="480"/>
      </w:trPr>
      <w:tc>
        <w:tcPr>
          <w:tcW w:w="5364" w:type="dxa"/>
          <w:vAlign w:val="center"/>
        </w:tcPr>
        <w:p w14:paraId="3BEE295A" w14:textId="08C7ADEB" w:rsidR="007A23AE" w:rsidRPr="000D4CA5" w:rsidRDefault="007A23AE" w:rsidP="00574BF3">
          <w:pPr>
            <w:pStyle w:val="Footer"/>
            <w:rPr>
              <w:b/>
              <w:szCs w:val="24"/>
            </w:rPr>
          </w:pPr>
          <w:r>
            <w:rPr>
              <w:b/>
              <w:szCs w:val="24"/>
            </w:rPr>
            <w:t xml:space="preserve">Page </w:t>
          </w:r>
          <w:r w:rsidRPr="00C30A88">
            <w:rPr>
              <w:b/>
              <w:szCs w:val="24"/>
            </w:rPr>
            <w:fldChar w:fldCharType="begin"/>
          </w:r>
          <w:r w:rsidRPr="00C30A88">
            <w:rPr>
              <w:b/>
              <w:sz w:val="20"/>
            </w:rPr>
            <w:instrText xml:space="preserve"> PAGE </w:instrText>
          </w:r>
          <w:r w:rsidRPr="00C30A88">
            <w:rPr>
              <w:b/>
              <w:szCs w:val="24"/>
            </w:rPr>
            <w:fldChar w:fldCharType="separate"/>
          </w:r>
          <w:r>
            <w:rPr>
              <w:b/>
              <w:noProof/>
              <w:sz w:val="20"/>
            </w:rPr>
            <w:t>1</w:t>
          </w:r>
          <w:r w:rsidRPr="00C30A88">
            <w:rPr>
              <w:b/>
              <w:szCs w:val="24"/>
            </w:rPr>
            <w:fldChar w:fldCharType="end"/>
          </w:r>
        </w:p>
      </w:tc>
      <w:tc>
        <w:tcPr>
          <w:tcW w:w="5436" w:type="dxa"/>
          <w:vAlign w:val="bottom"/>
        </w:tcPr>
        <w:p w14:paraId="3AB52D4C" w14:textId="5ADC957F" w:rsidR="007A23AE" w:rsidRPr="00126FC4" w:rsidRDefault="00F15DB5" w:rsidP="007A23AE">
          <w:pPr>
            <w:pStyle w:val="Footer"/>
            <w:jc w:val="right"/>
          </w:pPr>
          <w:r>
            <w:rPr>
              <w:noProof/>
            </w:rPr>
            <w:drawing>
              <wp:anchor distT="0" distB="0" distL="114300" distR="114300" simplePos="0" relativeHeight="251658241" behindDoc="0" locked="0" layoutInCell="1" allowOverlap="1" wp14:anchorId="13D89475" wp14:editId="677F1CA9">
                <wp:simplePos x="0" y="0"/>
                <wp:positionH relativeFrom="column">
                  <wp:posOffset>804545</wp:posOffset>
                </wp:positionH>
                <wp:positionV relativeFrom="paragraph">
                  <wp:posOffset>45720</wp:posOffset>
                </wp:positionV>
                <wp:extent cx="448945" cy="300990"/>
                <wp:effectExtent l="0" t="0" r="8255" b="3810"/>
                <wp:wrapNone/>
                <wp:docPr id="2085900926" name="Picture 3" descr="A purple letter w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67412" name="Picture 3" descr="A purple letter w with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00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79332C0" w14:textId="5A8E619D" w:rsidR="007A23AE" w:rsidRDefault="00F15DB5">
    <w:pPr>
      <w:pStyle w:val="Footer"/>
    </w:pPr>
    <w:r>
      <w:rPr>
        <w:noProof/>
      </w:rPr>
      <mc:AlternateContent>
        <mc:Choice Requires="wps">
          <w:drawing>
            <wp:anchor distT="0" distB="0" distL="114300" distR="114300" simplePos="0" relativeHeight="251658240" behindDoc="0" locked="0" layoutInCell="1" allowOverlap="1" wp14:anchorId="1916553E" wp14:editId="43E48706">
              <wp:simplePos x="0" y="0"/>
              <wp:positionH relativeFrom="column">
                <wp:posOffset>4730115</wp:posOffset>
              </wp:positionH>
              <wp:positionV relativeFrom="paragraph">
                <wp:posOffset>-330200</wp:posOffset>
              </wp:positionV>
              <wp:extent cx="2139950" cy="495935"/>
              <wp:effectExtent l="0" t="0" r="0" b="0"/>
              <wp:wrapNone/>
              <wp:docPr id="1241730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495935"/>
                      </a:xfrm>
                      <a:prstGeom prst="rect">
                        <a:avLst/>
                      </a:prstGeom>
                      <a:noFill/>
                      <a:ln w="9525">
                        <a:noFill/>
                        <a:miter lim="800000"/>
                        <a:headEnd/>
                        <a:tailEnd/>
                      </a:ln>
                    </wps:spPr>
                    <wps:txbx>
                      <w:txbxContent>
                        <w:p w14:paraId="457BF01D" w14:textId="77777777" w:rsidR="00126FC4" w:rsidRPr="000D3C31" w:rsidRDefault="00126FC4" w:rsidP="000D3C31">
                          <w:pPr>
                            <w:pBdr>
                              <w:bottom w:val="single" w:sz="4" w:space="1" w:color="auto"/>
                            </w:pBdr>
                            <w:spacing w:after="80"/>
                            <w:ind w:hanging="90"/>
                            <w:rPr>
                              <w:rFonts w:ascii="Matrix II OT Book" w:hAnsi="Matrix II OT Book"/>
                              <w:b/>
                              <w:bCs/>
                              <w:spacing w:val="20"/>
                              <w:sz w:val="16"/>
                              <w:szCs w:val="16"/>
                            </w:rPr>
                          </w:pPr>
                          <w:r w:rsidRPr="000D3C31">
                            <w:rPr>
                              <w:rFonts w:ascii="Matrix II OT Book" w:hAnsi="Matrix II OT Book"/>
                              <w:b/>
                              <w:bCs/>
                              <w:spacing w:val="20"/>
                              <w:sz w:val="16"/>
                              <w:szCs w:val="16"/>
                            </w:rPr>
                            <w:t>FINANCE, PLANNING &amp; BUDGETING</w:t>
                          </w:r>
                        </w:p>
                        <w:p w14:paraId="3EB75988" w14:textId="77777777" w:rsidR="00126FC4" w:rsidRPr="000D3C31" w:rsidRDefault="00126FC4" w:rsidP="000D3C31">
                          <w:pPr>
                            <w:ind w:left="-90"/>
                            <w:rPr>
                              <w:rFonts w:ascii="Matrix II OT Book" w:hAnsi="Matrix II OT Book"/>
                              <w:spacing w:val="20"/>
                            </w:rPr>
                          </w:pPr>
                          <w:r w:rsidRPr="000D3C31">
                            <w:rPr>
                              <w:rFonts w:ascii="Matrix II OT Book" w:hAnsi="Matrix II OT Book"/>
                              <w:spacing w:val="20"/>
                              <w:sz w:val="18"/>
                              <w:szCs w:val="18"/>
                            </w:rPr>
                            <w:t xml:space="preserve">UNIVERSITY </w:t>
                          </w:r>
                          <w:r w:rsidRPr="000D3C31">
                            <w:rPr>
                              <w:rFonts w:ascii="Matrix II OT Book" w:hAnsi="Matrix II OT Book"/>
                              <w:i/>
                              <w:iCs/>
                              <w:spacing w:val="20"/>
                              <w:sz w:val="16"/>
                              <w:szCs w:val="14"/>
                            </w:rPr>
                            <w:t>of</w:t>
                          </w:r>
                          <w:r w:rsidRPr="000D3C31">
                            <w:rPr>
                              <w:rFonts w:ascii="Matrix II OT Book" w:hAnsi="Matrix II OT Book"/>
                              <w:spacing w:val="20"/>
                              <w:sz w:val="12"/>
                              <w:szCs w:val="12"/>
                            </w:rPr>
                            <w:t xml:space="preserve"> </w:t>
                          </w:r>
                          <w:r w:rsidRPr="000D3C31">
                            <w:rPr>
                              <w:rFonts w:ascii="Matrix II OT Book" w:hAnsi="Matrix II OT Book"/>
                              <w:spacing w:val="20"/>
                              <w:sz w:val="18"/>
                              <w:szCs w:val="18"/>
                            </w:rPr>
                            <w:t>WASHINGTON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6553E" id="_x0000_t202" coordsize="21600,21600" o:spt="202" path="m,l,21600r21600,l21600,xe">
              <v:stroke joinstyle="miter"/>
              <v:path gradientshapeok="t" o:connecttype="rect"/>
            </v:shapetype>
            <v:shape id="Text Box 2" o:spid="_x0000_s1026" type="#_x0000_t202" style="position:absolute;margin-left:372.45pt;margin-top:-26pt;width:168.5pt;height:3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" filled="f" stroked="f">
              <v:textbox>
                <w:txbxContent>
                  <w:p w14:paraId="457BF01D" w14:textId="77777777" w:rsidR="00126FC4" w:rsidRPr="000D3C31" w:rsidRDefault="00126FC4" w:rsidP="000D3C31">
                    <w:pPr>
                      <w:pBdr>
                        <w:bottom w:val="single" w:sz="4" w:space="1" w:color="auto"/>
                      </w:pBdr>
                      <w:spacing w:after="80"/>
                      <w:ind w:hanging="90"/>
                      <w:rPr>
                        <w:rFonts w:ascii="Matrix II OT Book" w:hAnsi="Matrix II OT Book"/>
                        <w:b/>
                        <w:bCs/>
                        <w:spacing w:val="20"/>
                        <w:sz w:val="16"/>
                        <w:szCs w:val="16"/>
                      </w:rPr>
                    </w:pPr>
                    <w:r w:rsidRPr="000D3C31">
                      <w:rPr>
                        <w:rFonts w:ascii="Matrix II OT Book" w:hAnsi="Matrix II OT Book"/>
                        <w:b/>
                        <w:bCs/>
                        <w:spacing w:val="20"/>
                        <w:sz w:val="16"/>
                        <w:szCs w:val="16"/>
                      </w:rPr>
                      <w:t>FINANCE, PLANNING &amp; BUDGETING</w:t>
                    </w:r>
                  </w:p>
                  <w:p w14:paraId="3EB75988" w14:textId="77777777" w:rsidR="00126FC4" w:rsidRPr="000D3C31" w:rsidRDefault="00126FC4" w:rsidP="000D3C31">
                    <w:pPr>
                      <w:ind w:left="-90"/>
                      <w:rPr>
                        <w:rFonts w:ascii="Matrix II OT Book" w:hAnsi="Matrix II OT Book"/>
                        <w:spacing w:val="20"/>
                      </w:rPr>
                    </w:pPr>
                    <w:r w:rsidRPr="000D3C31">
                      <w:rPr>
                        <w:rFonts w:ascii="Matrix II OT Book" w:hAnsi="Matrix II OT Book"/>
                        <w:spacing w:val="20"/>
                        <w:sz w:val="18"/>
                        <w:szCs w:val="18"/>
                      </w:rPr>
                      <w:t xml:space="preserve">UNIVERSITY </w:t>
                    </w:r>
                    <w:r w:rsidRPr="000D3C31">
                      <w:rPr>
                        <w:rFonts w:ascii="Matrix II OT Book" w:hAnsi="Matrix II OT Book"/>
                        <w:i/>
                        <w:iCs/>
                        <w:spacing w:val="20"/>
                        <w:sz w:val="16"/>
                        <w:szCs w:val="14"/>
                      </w:rPr>
                      <w:t>of</w:t>
                    </w:r>
                    <w:r w:rsidRPr="000D3C31">
                      <w:rPr>
                        <w:rFonts w:ascii="Matrix II OT Book" w:hAnsi="Matrix II OT Book"/>
                        <w:spacing w:val="20"/>
                        <w:sz w:val="12"/>
                        <w:szCs w:val="12"/>
                      </w:rPr>
                      <w:t xml:space="preserve"> </w:t>
                    </w:r>
                    <w:r w:rsidRPr="000D3C31">
                      <w:rPr>
                        <w:rFonts w:ascii="Matrix II OT Book" w:hAnsi="Matrix II OT Book"/>
                        <w:spacing w:val="20"/>
                        <w:sz w:val="18"/>
                        <w:szCs w:val="18"/>
                      </w:rPr>
                      <w:t>WASHINGTON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E253" w14:textId="77777777" w:rsidR="00BA36F3" w:rsidRDefault="00BA36F3" w:rsidP="00C57B2B">
      <w:pPr>
        <w:spacing w:after="0" w:line="240" w:lineRule="auto"/>
      </w:pPr>
      <w:r>
        <w:separator/>
      </w:r>
    </w:p>
  </w:footnote>
  <w:footnote w:type="continuationSeparator" w:id="0">
    <w:p w14:paraId="17959376" w14:textId="77777777" w:rsidR="00BA36F3" w:rsidRDefault="00BA36F3" w:rsidP="00C57B2B">
      <w:pPr>
        <w:spacing w:after="0" w:line="240" w:lineRule="auto"/>
      </w:pPr>
      <w:r>
        <w:continuationSeparator/>
      </w:r>
    </w:p>
  </w:footnote>
  <w:footnote w:type="continuationNotice" w:id="1">
    <w:p w14:paraId="16B565FF" w14:textId="77777777" w:rsidR="00BA36F3" w:rsidRDefault="00BA36F3">
      <w:pPr>
        <w:spacing w:after="0" w:line="240" w:lineRule="auto"/>
      </w:pPr>
    </w:p>
  </w:footnote>
  <w:footnote w:id="2">
    <w:p w14:paraId="7723AA67" w14:textId="32EBE024" w:rsidR="00F9271F" w:rsidRPr="00F9271F" w:rsidRDefault="00F9271F">
      <w:pPr>
        <w:pStyle w:val="FootnoteText"/>
        <w:rPr>
          <w:sz w:val="18"/>
          <w:szCs w:val="18"/>
        </w:rPr>
      </w:pPr>
      <w:r w:rsidRPr="00F9271F">
        <w:rPr>
          <w:rStyle w:val="FootnoteReference"/>
          <w:sz w:val="18"/>
          <w:szCs w:val="18"/>
        </w:rPr>
        <w:footnoteRef/>
      </w:r>
      <w:r w:rsidRPr="00F9271F">
        <w:rPr>
          <w:sz w:val="18"/>
          <w:szCs w:val="18"/>
        </w:rPr>
        <w:t xml:space="preserve"> Net price</w:t>
      </w:r>
      <w:r w:rsidR="00436449">
        <w:rPr>
          <w:sz w:val="18"/>
          <w:szCs w:val="18"/>
        </w:rPr>
        <w:t xml:space="preserve"> is </w:t>
      </w:r>
      <w:r w:rsidR="00F1169E">
        <w:rPr>
          <w:sz w:val="18"/>
          <w:szCs w:val="18"/>
        </w:rPr>
        <w:t>the “total cost of attendance” (calculated using the weighted average of sticker prices for students in different living situations) minus average aid.</w:t>
      </w:r>
      <w:r w:rsidR="00707C2F">
        <w:rPr>
          <w:sz w:val="18"/>
          <w:szCs w:val="18"/>
        </w:rPr>
        <w:t xml:space="preserve"> </w:t>
      </w:r>
      <w:r w:rsidR="00F1169E">
        <w:rPr>
          <w:sz w:val="18"/>
          <w:szCs w:val="18"/>
        </w:rPr>
        <w:t xml:space="preserve">Specifically, the “cost of attendance” is the </w:t>
      </w:r>
      <w:r w:rsidR="00436449">
        <w:rPr>
          <w:sz w:val="18"/>
          <w:szCs w:val="18"/>
        </w:rPr>
        <w:t>weighted average of published price, weighted by how many students are living on campus, versus off</w:t>
      </w:r>
      <w:r w:rsidR="00415FA9">
        <w:rPr>
          <w:sz w:val="18"/>
          <w:szCs w:val="18"/>
        </w:rPr>
        <w:t xml:space="preserve"> </w:t>
      </w:r>
      <w:r w:rsidR="00436449">
        <w:rPr>
          <w:sz w:val="18"/>
          <w:szCs w:val="18"/>
        </w:rPr>
        <w:t>campus, versu</w:t>
      </w:r>
      <w:r w:rsidR="00F1169E">
        <w:rPr>
          <w:sz w:val="18"/>
          <w:szCs w:val="18"/>
        </w:rPr>
        <w:t>s at home.</w:t>
      </w:r>
      <w:r w:rsidR="00C277A2">
        <w:rPr>
          <w:sz w:val="18"/>
          <w:szCs w:val="18"/>
        </w:rPr>
        <w:t xml:space="preserve"> Average f</w:t>
      </w:r>
      <w:r w:rsidR="00436449">
        <w:rPr>
          <w:sz w:val="18"/>
          <w:szCs w:val="18"/>
        </w:rPr>
        <w:t>inancial aid is subtracted from the total cost of a</w:t>
      </w:r>
      <w:r w:rsidR="00F1169E">
        <w:rPr>
          <w:sz w:val="18"/>
          <w:szCs w:val="18"/>
        </w:rPr>
        <w:t>ttendance to get to net price.</w:t>
      </w:r>
      <w:r w:rsidR="00707C2F">
        <w:rPr>
          <w:sz w:val="18"/>
          <w:szCs w:val="18"/>
        </w:rPr>
        <w:t xml:space="preserve"> </w:t>
      </w:r>
    </w:p>
  </w:footnote>
  <w:footnote w:id="3">
    <w:p w14:paraId="0B6C6D31" w14:textId="38312286" w:rsidR="00A61588" w:rsidRPr="00E71A28" w:rsidRDefault="00A61588">
      <w:pPr>
        <w:pStyle w:val="FootnoteText"/>
        <w:rPr>
          <w:sz w:val="18"/>
          <w:szCs w:val="18"/>
        </w:rPr>
      </w:pPr>
      <w:r w:rsidRPr="00E71A28">
        <w:rPr>
          <w:rStyle w:val="FootnoteReference"/>
          <w:sz w:val="18"/>
          <w:szCs w:val="18"/>
        </w:rPr>
        <w:footnoteRef/>
      </w:r>
      <w:r w:rsidRPr="00E71A28">
        <w:rPr>
          <w:sz w:val="18"/>
          <w:szCs w:val="18"/>
        </w:rPr>
        <w:t xml:space="preserve"> </w:t>
      </w:r>
      <w:r w:rsidRPr="00A61588">
        <w:rPr>
          <w:sz w:val="18"/>
          <w:szCs w:val="18"/>
        </w:rPr>
        <w:t>The University has no records of students’ consumer loans and therefore cannot say definitively that these students have no debt.</w:t>
      </w:r>
    </w:p>
  </w:footnote>
  <w:footnote w:id="4">
    <w:p w14:paraId="3885E80B" w14:textId="7393D2E7" w:rsidR="00A00C12" w:rsidRPr="00A00C12" w:rsidRDefault="00A00C12">
      <w:pPr>
        <w:pStyle w:val="FootnoteText"/>
        <w:rPr>
          <w:sz w:val="18"/>
          <w:szCs w:val="18"/>
        </w:rPr>
      </w:pPr>
      <w:r w:rsidRPr="00A00C12">
        <w:rPr>
          <w:rStyle w:val="FootnoteReference"/>
          <w:sz w:val="18"/>
          <w:szCs w:val="18"/>
        </w:rPr>
        <w:footnoteRef/>
      </w:r>
      <w:r w:rsidRPr="00A00C12">
        <w:rPr>
          <w:sz w:val="18"/>
          <w:szCs w:val="18"/>
        </w:rPr>
        <w:t xml:space="preserve"> </w:t>
      </w:r>
      <w:r w:rsidRPr="00A00C12">
        <w:rPr>
          <w:rFonts w:cs="Calibri"/>
          <w:color w:val="000000"/>
          <w:sz w:val="18"/>
          <w:szCs w:val="18"/>
        </w:rPr>
        <w:t>UW Seattle data is corrected to match final release data reported to IPEDS and as such will not match IPEDS preliminary release data.</w:t>
      </w:r>
    </w:p>
  </w:footnote>
  <w:footnote w:id="5">
    <w:p w14:paraId="544892E7" w14:textId="65CC20D9" w:rsidR="000D7908" w:rsidRPr="000D7908" w:rsidRDefault="000D7908">
      <w:pPr>
        <w:pStyle w:val="FootnoteText"/>
        <w:rPr>
          <w:sz w:val="18"/>
          <w:szCs w:val="18"/>
        </w:rPr>
      </w:pPr>
      <w:r w:rsidRPr="000D7908">
        <w:rPr>
          <w:rStyle w:val="FootnoteReference"/>
          <w:sz w:val="18"/>
          <w:szCs w:val="18"/>
        </w:rPr>
        <w:footnoteRef/>
      </w:r>
      <w:r w:rsidRPr="000D7908">
        <w:rPr>
          <w:sz w:val="18"/>
          <w:szCs w:val="18"/>
        </w:rPr>
        <w:t xml:space="preserve"> </w:t>
      </w:r>
      <w:r w:rsidRPr="000D7908">
        <w:rPr>
          <w:rFonts w:cs="Calibri"/>
          <w:color w:val="000000"/>
          <w:sz w:val="18"/>
          <w:szCs w:val="18"/>
        </w:rPr>
        <w:t>Table is sorted by 2023-24 Net Price. Net prices in table are in nominal dollars (not adjusted for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4794"/>
    </w:tblGrid>
    <w:tr w:rsidR="00DB746A" w14:paraId="15952241" w14:textId="77777777" w:rsidTr="00DB746A">
      <w:trPr>
        <w:trHeight w:val="540"/>
      </w:trPr>
      <w:tc>
        <w:tcPr>
          <w:tcW w:w="6006" w:type="dxa"/>
          <w:vAlign w:val="center"/>
        </w:tcPr>
        <w:p w14:paraId="2B6BB095" w14:textId="77777777" w:rsidR="00DB746A" w:rsidRDefault="00CA2021" w:rsidP="00DB746A">
          <w:pPr>
            <w:pStyle w:val="Header"/>
          </w:pPr>
          <w:r>
            <w:rPr>
              <w:noProof/>
            </w:rPr>
            <w:drawing>
              <wp:inline distT="0" distB="0" distL="0" distR="0" wp14:anchorId="26EA29AC" wp14:editId="004D7419">
                <wp:extent cx="3657600" cy="285750"/>
                <wp:effectExtent l="19050" t="0" r="0" b="0"/>
                <wp:docPr id="1316462908" name="Picture 1316462908" descr="C:\Users\kkuenzi\AppData\Local\Microsoft\Windows\Temporary Internet Files\Content.Word\UW.Signature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uenzi\AppData\Local\Microsoft\Windows\Temporary Internet Files\Content.Word\UW.Signature_left.jpg"/>
                        <pic:cNvPicPr>
                          <a:picLocks noChangeAspect="1" noChangeArrowheads="1"/>
                        </pic:cNvPicPr>
                      </pic:nvPicPr>
                      <pic:blipFill>
                        <a:blip r:embed="rId1"/>
                        <a:srcRect/>
                        <a:stretch>
                          <a:fillRect/>
                        </a:stretch>
                      </pic:blipFill>
                      <pic:spPr bwMode="auto">
                        <a:xfrm>
                          <a:off x="0" y="0"/>
                          <a:ext cx="3657600" cy="285750"/>
                        </a:xfrm>
                        <a:prstGeom prst="rect">
                          <a:avLst/>
                        </a:prstGeom>
                        <a:noFill/>
                        <a:ln w="9525">
                          <a:noFill/>
                          <a:miter lim="800000"/>
                          <a:headEnd/>
                          <a:tailEnd/>
                        </a:ln>
                      </pic:spPr>
                    </pic:pic>
                  </a:graphicData>
                </a:graphic>
              </wp:inline>
            </w:drawing>
          </w:r>
        </w:p>
      </w:tc>
      <w:tc>
        <w:tcPr>
          <w:tcW w:w="5010" w:type="dxa"/>
          <w:vAlign w:val="center"/>
        </w:tcPr>
        <w:p w14:paraId="5D620CE2" w14:textId="771BCF6F" w:rsidR="00DB746A" w:rsidRPr="00123215" w:rsidRDefault="00AB54C1" w:rsidP="00DB746A">
          <w:pPr>
            <w:pStyle w:val="Header"/>
            <w:jc w:val="right"/>
            <w:rPr>
              <w:b/>
              <w:sz w:val="36"/>
              <w:szCs w:val="36"/>
            </w:rPr>
          </w:pPr>
          <w:r w:rsidRPr="00683891">
            <w:rPr>
              <w:b/>
              <w:sz w:val="28"/>
              <w:szCs w:val="28"/>
            </w:rPr>
            <w:t xml:space="preserve">Finance, </w:t>
          </w:r>
          <w:r w:rsidR="00CA2021" w:rsidRPr="00683891">
            <w:rPr>
              <w:b/>
              <w:sz w:val="28"/>
              <w:szCs w:val="28"/>
            </w:rPr>
            <w:t>Planning &amp; Budgeting Brief</w:t>
          </w:r>
        </w:p>
      </w:tc>
    </w:tr>
  </w:tbl>
  <w:p w14:paraId="154FDD86" w14:textId="77777777" w:rsidR="00DB746A" w:rsidRDefault="00DB74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2A6"/>
    <w:multiLevelType w:val="hybridMultilevel"/>
    <w:tmpl w:val="026C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84EE2"/>
    <w:multiLevelType w:val="hybridMultilevel"/>
    <w:tmpl w:val="F1F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2D86"/>
    <w:multiLevelType w:val="hybridMultilevel"/>
    <w:tmpl w:val="3B9C2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716573">
    <w:abstractNumId w:val="2"/>
  </w:num>
  <w:num w:numId="2" w16cid:durableId="1015571415">
    <w:abstractNumId w:val="0"/>
  </w:num>
  <w:num w:numId="3" w16cid:durableId="167799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2B"/>
    <w:rsid w:val="00005189"/>
    <w:rsid w:val="00005BE5"/>
    <w:rsid w:val="00010261"/>
    <w:rsid w:val="0001100F"/>
    <w:rsid w:val="00011F8A"/>
    <w:rsid w:val="00013675"/>
    <w:rsid w:val="00021309"/>
    <w:rsid w:val="0002186F"/>
    <w:rsid w:val="00024E90"/>
    <w:rsid w:val="0003101F"/>
    <w:rsid w:val="000323E8"/>
    <w:rsid w:val="00033C3C"/>
    <w:rsid w:val="00033C94"/>
    <w:rsid w:val="00036B97"/>
    <w:rsid w:val="000371AF"/>
    <w:rsid w:val="00043060"/>
    <w:rsid w:val="00043D8F"/>
    <w:rsid w:val="00044A04"/>
    <w:rsid w:val="00044B46"/>
    <w:rsid w:val="00052210"/>
    <w:rsid w:val="000544B5"/>
    <w:rsid w:val="00054FC7"/>
    <w:rsid w:val="00060206"/>
    <w:rsid w:val="00062131"/>
    <w:rsid w:val="000623CC"/>
    <w:rsid w:val="0006256F"/>
    <w:rsid w:val="00062B92"/>
    <w:rsid w:val="000648EF"/>
    <w:rsid w:val="000651C3"/>
    <w:rsid w:val="00074BAE"/>
    <w:rsid w:val="000753B8"/>
    <w:rsid w:val="00075E28"/>
    <w:rsid w:val="000760A9"/>
    <w:rsid w:val="00076A38"/>
    <w:rsid w:val="0008073B"/>
    <w:rsid w:val="00080D89"/>
    <w:rsid w:val="00081674"/>
    <w:rsid w:val="00082572"/>
    <w:rsid w:val="00082CB1"/>
    <w:rsid w:val="00084926"/>
    <w:rsid w:val="00087F47"/>
    <w:rsid w:val="00090EAC"/>
    <w:rsid w:val="00091152"/>
    <w:rsid w:val="00092A8E"/>
    <w:rsid w:val="00092C90"/>
    <w:rsid w:val="000933F0"/>
    <w:rsid w:val="000947A0"/>
    <w:rsid w:val="00097239"/>
    <w:rsid w:val="00097E00"/>
    <w:rsid w:val="000A1A66"/>
    <w:rsid w:val="000A4779"/>
    <w:rsid w:val="000A7577"/>
    <w:rsid w:val="000B0710"/>
    <w:rsid w:val="000B1EE8"/>
    <w:rsid w:val="000B77A8"/>
    <w:rsid w:val="000C2434"/>
    <w:rsid w:val="000C3C3B"/>
    <w:rsid w:val="000C3F16"/>
    <w:rsid w:val="000C4131"/>
    <w:rsid w:val="000C5684"/>
    <w:rsid w:val="000C599A"/>
    <w:rsid w:val="000D023C"/>
    <w:rsid w:val="000D328C"/>
    <w:rsid w:val="000D3C31"/>
    <w:rsid w:val="000D58DC"/>
    <w:rsid w:val="000D6873"/>
    <w:rsid w:val="000D6FC7"/>
    <w:rsid w:val="000D7908"/>
    <w:rsid w:val="000E41E4"/>
    <w:rsid w:val="000E450D"/>
    <w:rsid w:val="000E5484"/>
    <w:rsid w:val="000F3F38"/>
    <w:rsid w:val="000F5569"/>
    <w:rsid w:val="000F5ECF"/>
    <w:rsid w:val="000F6494"/>
    <w:rsid w:val="000F6AC3"/>
    <w:rsid w:val="00100E7C"/>
    <w:rsid w:val="00102C80"/>
    <w:rsid w:val="00103D2D"/>
    <w:rsid w:val="001056B5"/>
    <w:rsid w:val="001066CD"/>
    <w:rsid w:val="0011016D"/>
    <w:rsid w:val="00110577"/>
    <w:rsid w:val="00112597"/>
    <w:rsid w:val="001179D2"/>
    <w:rsid w:val="00117F64"/>
    <w:rsid w:val="0012030C"/>
    <w:rsid w:val="00123CC9"/>
    <w:rsid w:val="00125C7D"/>
    <w:rsid w:val="00126FC4"/>
    <w:rsid w:val="001275F4"/>
    <w:rsid w:val="00127668"/>
    <w:rsid w:val="00130014"/>
    <w:rsid w:val="00131BCF"/>
    <w:rsid w:val="001321A0"/>
    <w:rsid w:val="00140FDC"/>
    <w:rsid w:val="001426CE"/>
    <w:rsid w:val="00143FDB"/>
    <w:rsid w:val="00144021"/>
    <w:rsid w:val="00144604"/>
    <w:rsid w:val="001503D7"/>
    <w:rsid w:val="00156710"/>
    <w:rsid w:val="00157405"/>
    <w:rsid w:val="00157B7E"/>
    <w:rsid w:val="00157D88"/>
    <w:rsid w:val="001649ED"/>
    <w:rsid w:val="00165C84"/>
    <w:rsid w:val="001673A8"/>
    <w:rsid w:val="00171BD3"/>
    <w:rsid w:val="00172925"/>
    <w:rsid w:val="00174D06"/>
    <w:rsid w:val="00175BFD"/>
    <w:rsid w:val="00180C5C"/>
    <w:rsid w:val="001811DF"/>
    <w:rsid w:val="00181AFE"/>
    <w:rsid w:val="00185692"/>
    <w:rsid w:val="00187483"/>
    <w:rsid w:val="00193BBB"/>
    <w:rsid w:val="001943BF"/>
    <w:rsid w:val="00195643"/>
    <w:rsid w:val="00196D1E"/>
    <w:rsid w:val="001A083F"/>
    <w:rsid w:val="001A4851"/>
    <w:rsid w:val="001A7B56"/>
    <w:rsid w:val="001B433F"/>
    <w:rsid w:val="001B481E"/>
    <w:rsid w:val="001C5013"/>
    <w:rsid w:val="001C55BF"/>
    <w:rsid w:val="001C5C1B"/>
    <w:rsid w:val="001C71AF"/>
    <w:rsid w:val="001D08C6"/>
    <w:rsid w:val="001D16C6"/>
    <w:rsid w:val="001D32DE"/>
    <w:rsid w:val="001D4D65"/>
    <w:rsid w:val="001D69E5"/>
    <w:rsid w:val="001E0AEA"/>
    <w:rsid w:val="001E419F"/>
    <w:rsid w:val="001E43A5"/>
    <w:rsid w:val="001E55EC"/>
    <w:rsid w:val="001F078A"/>
    <w:rsid w:val="001F0C49"/>
    <w:rsid w:val="001F5B4B"/>
    <w:rsid w:val="001F71F6"/>
    <w:rsid w:val="00200683"/>
    <w:rsid w:val="00201955"/>
    <w:rsid w:val="00203976"/>
    <w:rsid w:val="00211183"/>
    <w:rsid w:val="002132EC"/>
    <w:rsid w:val="00224DDB"/>
    <w:rsid w:val="00241DC3"/>
    <w:rsid w:val="0024275D"/>
    <w:rsid w:val="00245986"/>
    <w:rsid w:val="00245FFF"/>
    <w:rsid w:val="00247919"/>
    <w:rsid w:val="0025089D"/>
    <w:rsid w:val="00251C8B"/>
    <w:rsid w:val="00252B5A"/>
    <w:rsid w:val="00257EB1"/>
    <w:rsid w:val="002600CD"/>
    <w:rsid w:val="00262BA6"/>
    <w:rsid w:val="002633F2"/>
    <w:rsid w:val="00263515"/>
    <w:rsid w:val="00265D1C"/>
    <w:rsid w:val="00265EC1"/>
    <w:rsid w:val="00266F59"/>
    <w:rsid w:val="00271DE3"/>
    <w:rsid w:val="00273B3D"/>
    <w:rsid w:val="00280C0E"/>
    <w:rsid w:val="0028134F"/>
    <w:rsid w:val="002831E1"/>
    <w:rsid w:val="00284895"/>
    <w:rsid w:val="002912A4"/>
    <w:rsid w:val="0029206E"/>
    <w:rsid w:val="00295CFB"/>
    <w:rsid w:val="002B1A9E"/>
    <w:rsid w:val="002B1EA6"/>
    <w:rsid w:val="002B6A81"/>
    <w:rsid w:val="002C4A1E"/>
    <w:rsid w:val="002C5385"/>
    <w:rsid w:val="002C696F"/>
    <w:rsid w:val="002D15C7"/>
    <w:rsid w:val="002D1C29"/>
    <w:rsid w:val="002D27DD"/>
    <w:rsid w:val="002D6691"/>
    <w:rsid w:val="002D6A19"/>
    <w:rsid w:val="002E0E7F"/>
    <w:rsid w:val="002E2E8D"/>
    <w:rsid w:val="002F3586"/>
    <w:rsid w:val="002F36E9"/>
    <w:rsid w:val="002F493D"/>
    <w:rsid w:val="002F5567"/>
    <w:rsid w:val="002F627C"/>
    <w:rsid w:val="002F7A5B"/>
    <w:rsid w:val="002F7F26"/>
    <w:rsid w:val="00302E77"/>
    <w:rsid w:val="00304A9C"/>
    <w:rsid w:val="003052E8"/>
    <w:rsid w:val="0030724C"/>
    <w:rsid w:val="00307C91"/>
    <w:rsid w:val="00310922"/>
    <w:rsid w:val="00312641"/>
    <w:rsid w:val="00317C95"/>
    <w:rsid w:val="00326107"/>
    <w:rsid w:val="0032621E"/>
    <w:rsid w:val="0032683C"/>
    <w:rsid w:val="00333681"/>
    <w:rsid w:val="003336DA"/>
    <w:rsid w:val="00334EAE"/>
    <w:rsid w:val="0033591B"/>
    <w:rsid w:val="003408FE"/>
    <w:rsid w:val="00341634"/>
    <w:rsid w:val="00341B34"/>
    <w:rsid w:val="00343824"/>
    <w:rsid w:val="00345489"/>
    <w:rsid w:val="003461EF"/>
    <w:rsid w:val="00346E81"/>
    <w:rsid w:val="0035071B"/>
    <w:rsid w:val="003514C4"/>
    <w:rsid w:val="00354883"/>
    <w:rsid w:val="003560B9"/>
    <w:rsid w:val="00357609"/>
    <w:rsid w:val="00360B73"/>
    <w:rsid w:val="00360EFB"/>
    <w:rsid w:val="0036402A"/>
    <w:rsid w:val="00365056"/>
    <w:rsid w:val="00370E4E"/>
    <w:rsid w:val="003720ED"/>
    <w:rsid w:val="00372301"/>
    <w:rsid w:val="00374597"/>
    <w:rsid w:val="00374F2F"/>
    <w:rsid w:val="003765E5"/>
    <w:rsid w:val="00376DA9"/>
    <w:rsid w:val="0037764D"/>
    <w:rsid w:val="003819FB"/>
    <w:rsid w:val="00381A23"/>
    <w:rsid w:val="00382477"/>
    <w:rsid w:val="00386BD0"/>
    <w:rsid w:val="0039345E"/>
    <w:rsid w:val="00393E6E"/>
    <w:rsid w:val="00395129"/>
    <w:rsid w:val="00397D58"/>
    <w:rsid w:val="003A0C5C"/>
    <w:rsid w:val="003A7BE5"/>
    <w:rsid w:val="003B21CF"/>
    <w:rsid w:val="003B3985"/>
    <w:rsid w:val="003B487D"/>
    <w:rsid w:val="003B6405"/>
    <w:rsid w:val="003C4886"/>
    <w:rsid w:val="003C72AB"/>
    <w:rsid w:val="003D1BF7"/>
    <w:rsid w:val="003D2E93"/>
    <w:rsid w:val="003D3701"/>
    <w:rsid w:val="003D3C8D"/>
    <w:rsid w:val="003E09A9"/>
    <w:rsid w:val="003E1C77"/>
    <w:rsid w:val="003E79CF"/>
    <w:rsid w:val="003F094B"/>
    <w:rsid w:val="003F1B6D"/>
    <w:rsid w:val="003F1F4A"/>
    <w:rsid w:val="003F4F25"/>
    <w:rsid w:val="003F6021"/>
    <w:rsid w:val="003F78C9"/>
    <w:rsid w:val="004024C4"/>
    <w:rsid w:val="004027A2"/>
    <w:rsid w:val="00405A7A"/>
    <w:rsid w:val="00405BDD"/>
    <w:rsid w:val="00412692"/>
    <w:rsid w:val="00412F90"/>
    <w:rsid w:val="00415FA9"/>
    <w:rsid w:val="00416061"/>
    <w:rsid w:val="00416D65"/>
    <w:rsid w:val="004228B5"/>
    <w:rsid w:val="0042796F"/>
    <w:rsid w:val="00436449"/>
    <w:rsid w:val="00441563"/>
    <w:rsid w:val="004423D5"/>
    <w:rsid w:val="00442937"/>
    <w:rsid w:val="00442CA0"/>
    <w:rsid w:val="00443486"/>
    <w:rsid w:val="004442DA"/>
    <w:rsid w:val="00446DC7"/>
    <w:rsid w:val="00450C3A"/>
    <w:rsid w:val="00451AA8"/>
    <w:rsid w:val="00453561"/>
    <w:rsid w:val="004552B9"/>
    <w:rsid w:val="00455300"/>
    <w:rsid w:val="00456026"/>
    <w:rsid w:val="00456D79"/>
    <w:rsid w:val="00460ED9"/>
    <w:rsid w:val="00460F2D"/>
    <w:rsid w:val="0046189C"/>
    <w:rsid w:val="00462A01"/>
    <w:rsid w:val="00463281"/>
    <w:rsid w:val="00465FC4"/>
    <w:rsid w:val="00467277"/>
    <w:rsid w:val="00473540"/>
    <w:rsid w:val="004739DA"/>
    <w:rsid w:val="004802BC"/>
    <w:rsid w:val="00480E1D"/>
    <w:rsid w:val="004862BE"/>
    <w:rsid w:val="004926F4"/>
    <w:rsid w:val="00494909"/>
    <w:rsid w:val="00495E7A"/>
    <w:rsid w:val="00496A30"/>
    <w:rsid w:val="004A0801"/>
    <w:rsid w:val="004A1AB8"/>
    <w:rsid w:val="004A245B"/>
    <w:rsid w:val="004A2957"/>
    <w:rsid w:val="004A3379"/>
    <w:rsid w:val="004A3E73"/>
    <w:rsid w:val="004B39EF"/>
    <w:rsid w:val="004B4A74"/>
    <w:rsid w:val="004B58F5"/>
    <w:rsid w:val="004B612F"/>
    <w:rsid w:val="004B6E01"/>
    <w:rsid w:val="004B6FB8"/>
    <w:rsid w:val="004B7B7A"/>
    <w:rsid w:val="004C114E"/>
    <w:rsid w:val="004C52A5"/>
    <w:rsid w:val="004C5B5A"/>
    <w:rsid w:val="004D0BF6"/>
    <w:rsid w:val="004D0E5C"/>
    <w:rsid w:val="004D42FC"/>
    <w:rsid w:val="004D44A1"/>
    <w:rsid w:val="004D4904"/>
    <w:rsid w:val="004D6A42"/>
    <w:rsid w:val="004E1D31"/>
    <w:rsid w:val="004E2DDF"/>
    <w:rsid w:val="004E530A"/>
    <w:rsid w:val="004E61E9"/>
    <w:rsid w:val="004E696C"/>
    <w:rsid w:val="004E7266"/>
    <w:rsid w:val="004E7BDC"/>
    <w:rsid w:val="004F0686"/>
    <w:rsid w:val="004F4682"/>
    <w:rsid w:val="004F54BB"/>
    <w:rsid w:val="004F7501"/>
    <w:rsid w:val="004F7D9E"/>
    <w:rsid w:val="00500255"/>
    <w:rsid w:val="00501898"/>
    <w:rsid w:val="005023E3"/>
    <w:rsid w:val="00504E47"/>
    <w:rsid w:val="00505D0C"/>
    <w:rsid w:val="0050681A"/>
    <w:rsid w:val="00506AEA"/>
    <w:rsid w:val="0051007C"/>
    <w:rsid w:val="005111E5"/>
    <w:rsid w:val="005112F8"/>
    <w:rsid w:val="005115C9"/>
    <w:rsid w:val="00516F33"/>
    <w:rsid w:val="00530536"/>
    <w:rsid w:val="005330A7"/>
    <w:rsid w:val="0053355E"/>
    <w:rsid w:val="00537C86"/>
    <w:rsid w:val="005422BE"/>
    <w:rsid w:val="00542A31"/>
    <w:rsid w:val="005433FD"/>
    <w:rsid w:val="0054622F"/>
    <w:rsid w:val="005475FF"/>
    <w:rsid w:val="00550F35"/>
    <w:rsid w:val="00554F08"/>
    <w:rsid w:val="005601A6"/>
    <w:rsid w:val="00564E35"/>
    <w:rsid w:val="00574BF3"/>
    <w:rsid w:val="0057697D"/>
    <w:rsid w:val="00580A7F"/>
    <w:rsid w:val="00580AFC"/>
    <w:rsid w:val="00583E55"/>
    <w:rsid w:val="00586474"/>
    <w:rsid w:val="00586677"/>
    <w:rsid w:val="00586945"/>
    <w:rsid w:val="005873D4"/>
    <w:rsid w:val="0059130B"/>
    <w:rsid w:val="005915EB"/>
    <w:rsid w:val="005920B8"/>
    <w:rsid w:val="00592AA1"/>
    <w:rsid w:val="00596045"/>
    <w:rsid w:val="005A2BD1"/>
    <w:rsid w:val="005A3784"/>
    <w:rsid w:val="005A5B2C"/>
    <w:rsid w:val="005A60A1"/>
    <w:rsid w:val="005A60DE"/>
    <w:rsid w:val="005B09D0"/>
    <w:rsid w:val="005B4B1B"/>
    <w:rsid w:val="005B5D80"/>
    <w:rsid w:val="005B660B"/>
    <w:rsid w:val="005B667E"/>
    <w:rsid w:val="005B7E73"/>
    <w:rsid w:val="005C025A"/>
    <w:rsid w:val="005C1A1D"/>
    <w:rsid w:val="005C4FC7"/>
    <w:rsid w:val="005C7455"/>
    <w:rsid w:val="005C7D7C"/>
    <w:rsid w:val="005D6E20"/>
    <w:rsid w:val="005D7300"/>
    <w:rsid w:val="005E1CB3"/>
    <w:rsid w:val="005E43D1"/>
    <w:rsid w:val="005F0066"/>
    <w:rsid w:val="005F18F5"/>
    <w:rsid w:val="005F4876"/>
    <w:rsid w:val="005F4E64"/>
    <w:rsid w:val="005F78C1"/>
    <w:rsid w:val="00600B45"/>
    <w:rsid w:val="00603458"/>
    <w:rsid w:val="00604D2F"/>
    <w:rsid w:val="00606DB9"/>
    <w:rsid w:val="006102FB"/>
    <w:rsid w:val="00611C91"/>
    <w:rsid w:val="006124A1"/>
    <w:rsid w:val="00612D34"/>
    <w:rsid w:val="00616866"/>
    <w:rsid w:val="00620579"/>
    <w:rsid w:val="00621DB3"/>
    <w:rsid w:val="006265B2"/>
    <w:rsid w:val="00626968"/>
    <w:rsid w:val="006369D0"/>
    <w:rsid w:val="00641206"/>
    <w:rsid w:val="006416FB"/>
    <w:rsid w:val="0064397B"/>
    <w:rsid w:val="0064423D"/>
    <w:rsid w:val="00645032"/>
    <w:rsid w:val="00651254"/>
    <w:rsid w:val="0065290C"/>
    <w:rsid w:val="00653FD7"/>
    <w:rsid w:val="00656ADE"/>
    <w:rsid w:val="00660219"/>
    <w:rsid w:val="00660864"/>
    <w:rsid w:val="006630B6"/>
    <w:rsid w:val="00664516"/>
    <w:rsid w:val="00664D7D"/>
    <w:rsid w:val="00665A93"/>
    <w:rsid w:val="00667F9A"/>
    <w:rsid w:val="0067266F"/>
    <w:rsid w:val="00673AB3"/>
    <w:rsid w:val="00683891"/>
    <w:rsid w:val="00685AAE"/>
    <w:rsid w:val="00686BBF"/>
    <w:rsid w:val="006878F2"/>
    <w:rsid w:val="00693AB0"/>
    <w:rsid w:val="00694E6C"/>
    <w:rsid w:val="00695159"/>
    <w:rsid w:val="006A1CAB"/>
    <w:rsid w:val="006A24B8"/>
    <w:rsid w:val="006A2C9B"/>
    <w:rsid w:val="006B0A0D"/>
    <w:rsid w:val="006B1A2F"/>
    <w:rsid w:val="006B2CCE"/>
    <w:rsid w:val="006B66DF"/>
    <w:rsid w:val="006C04F1"/>
    <w:rsid w:val="006C131B"/>
    <w:rsid w:val="006C52AE"/>
    <w:rsid w:val="006C6745"/>
    <w:rsid w:val="006D229E"/>
    <w:rsid w:val="006D4D7D"/>
    <w:rsid w:val="006D5857"/>
    <w:rsid w:val="006D5DEB"/>
    <w:rsid w:val="006E0839"/>
    <w:rsid w:val="006E14F4"/>
    <w:rsid w:val="006E1B1A"/>
    <w:rsid w:val="006E28B2"/>
    <w:rsid w:val="006E4979"/>
    <w:rsid w:val="006E731C"/>
    <w:rsid w:val="006E7724"/>
    <w:rsid w:val="006F0BCB"/>
    <w:rsid w:val="006F3E0B"/>
    <w:rsid w:val="006F43B8"/>
    <w:rsid w:val="00701E57"/>
    <w:rsid w:val="0070484A"/>
    <w:rsid w:val="00707C2F"/>
    <w:rsid w:val="00710D08"/>
    <w:rsid w:val="0071365C"/>
    <w:rsid w:val="00713B1C"/>
    <w:rsid w:val="00714D44"/>
    <w:rsid w:val="00717193"/>
    <w:rsid w:val="00722955"/>
    <w:rsid w:val="007235CA"/>
    <w:rsid w:val="00726C7D"/>
    <w:rsid w:val="00727EC0"/>
    <w:rsid w:val="00736A00"/>
    <w:rsid w:val="007377F6"/>
    <w:rsid w:val="0073796E"/>
    <w:rsid w:val="007424E4"/>
    <w:rsid w:val="0074766E"/>
    <w:rsid w:val="00752693"/>
    <w:rsid w:val="00752E8A"/>
    <w:rsid w:val="00753DBF"/>
    <w:rsid w:val="00764ECF"/>
    <w:rsid w:val="00767579"/>
    <w:rsid w:val="00771590"/>
    <w:rsid w:val="007715CD"/>
    <w:rsid w:val="00772766"/>
    <w:rsid w:val="00774DA7"/>
    <w:rsid w:val="007767AB"/>
    <w:rsid w:val="007834AE"/>
    <w:rsid w:val="0078361A"/>
    <w:rsid w:val="0078678F"/>
    <w:rsid w:val="00787638"/>
    <w:rsid w:val="0079293E"/>
    <w:rsid w:val="0079360E"/>
    <w:rsid w:val="00794642"/>
    <w:rsid w:val="00794879"/>
    <w:rsid w:val="0079633C"/>
    <w:rsid w:val="007A02FF"/>
    <w:rsid w:val="007A182E"/>
    <w:rsid w:val="007A23AE"/>
    <w:rsid w:val="007A46EE"/>
    <w:rsid w:val="007A4930"/>
    <w:rsid w:val="007A49BB"/>
    <w:rsid w:val="007A56A7"/>
    <w:rsid w:val="007A7285"/>
    <w:rsid w:val="007B0C88"/>
    <w:rsid w:val="007B3463"/>
    <w:rsid w:val="007B36E2"/>
    <w:rsid w:val="007B564C"/>
    <w:rsid w:val="007B70BB"/>
    <w:rsid w:val="007C0302"/>
    <w:rsid w:val="007C1E0A"/>
    <w:rsid w:val="007C3163"/>
    <w:rsid w:val="007C688A"/>
    <w:rsid w:val="007C6E51"/>
    <w:rsid w:val="007D0A5F"/>
    <w:rsid w:val="007D1C7D"/>
    <w:rsid w:val="007D44E6"/>
    <w:rsid w:val="007E3C38"/>
    <w:rsid w:val="007E4676"/>
    <w:rsid w:val="007E481A"/>
    <w:rsid w:val="007E4942"/>
    <w:rsid w:val="007E69DE"/>
    <w:rsid w:val="007F4D11"/>
    <w:rsid w:val="007F6A5A"/>
    <w:rsid w:val="008017B3"/>
    <w:rsid w:val="00805366"/>
    <w:rsid w:val="0081024C"/>
    <w:rsid w:val="0081186B"/>
    <w:rsid w:val="008161B2"/>
    <w:rsid w:val="00816B5E"/>
    <w:rsid w:val="00816DCC"/>
    <w:rsid w:val="00817517"/>
    <w:rsid w:val="00823807"/>
    <w:rsid w:val="0082728F"/>
    <w:rsid w:val="00832770"/>
    <w:rsid w:val="0083300E"/>
    <w:rsid w:val="00833AA4"/>
    <w:rsid w:val="0083420B"/>
    <w:rsid w:val="008346C7"/>
    <w:rsid w:val="00837A67"/>
    <w:rsid w:val="00842EE5"/>
    <w:rsid w:val="00845B62"/>
    <w:rsid w:val="0084785A"/>
    <w:rsid w:val="0085277E"/>
    <w:rsid w:val="00853CFD"/>
    <w:rsid w:val="00853EFE"/>
    <w:rsid w:val="00854144"/>
    <w:rsid w:val="00856BEB"/>
    <w:rsid w:val="008571FE"/>
    <w:rsid w:val="00865323"/>
    <w:rsid w:val="008668AC"/>
    <w:rsid w:val="00871E21"/>
    <w:rsid w:val="008735A8"/>
    <w:rsid w:val="00880142"/>
    <w:rsid w:val="00880BF1"/>
    <w:rsid w:val="008841B0"/>
    <w:rsid w:val="00886011"/>
    <w:rsid w:val="00886F36"/>
    <w:rsid w:val="0089108B"/>
    <w:rsid w:val="00891A8A"/>
    <w:rsid w:val="00893216"/>
    <w:rsid w:val="00895616"/>
    <w:rsid w:val="008A0231"/>
    <w:rsid w:val="008A1634"/>
    <w:rsid w:val="008A383B"/>
    <w:rsid w:val="008A6CAD"/>
    <w:rsid w:val="008A70C0"/>
    <w:rsid w:val="008B040B"/>
    <w:rsid w:val="008B2DFD"/>
    <w:rsid w:val="008B6989"/>
    <w:rsid w:val="008B6B4E"/>
    <w:rsid w:val="008C2D6C"/>
    <w:rsid w:val="008C46B7"/>
    <w:rsid w:val="008C569E"/>
    <w:rsid w:val="008C712F"/>
    <w:rsid w:val="008C73A8"/>
    <w:rsid w:val="008D03FF"/>
    <w:rsid w:val="008D33CC"/>
    <w:rsid w:val="008D4FEE"/>
    <w:rsid w:val="008E056D"/>
    <w:rsid w:val="008E061F"/>
    <w:rsid w:val="008E1579"/>
    <w:rsid w:val="008E1903"/>
    <w:rsid w:val="008E329E"/>
    <w:rsid w:val="008E4607"/>
    <w:rsid w:val="008E504B"/>
    <w:rsid w:val="008E6DD3"/>
    <w:rsid w:val="008F4680"/>
    <w:rsid w:val="008F7622"/>
    <w:rsid w:val="00904DC8"/>
    <w:rsid w:val="00910495"/>
    <w:rsid w:val="0091105A"/>
    <w:rsid w:val="00911750"/>
    <w:rsid w:val="00913E7E"/>
    <w:rsid w:val="00916569"/>
    <w:rsid w:val="00922419"/>
    <w:rsid w:val="00924FE9"/>
    <w:rsid w:val="009304BB"/>
    <w:rsid w:val="00930B0A"/>
    <w:rsid w:val="009330CE"/>
    <w:rsid w:val="009336DB"/>
    <w:rsid w:val="00933823"/>
    <w:rsid w:val="00934ED0"/>
    <w:rsid w:val="00936141"/>
    <w:rsid w:val="009364C3"/>
    <w:rsid w:val="00936C60"/>
    <w:rsid w:val="0093793E"/>
    <w:rsid w:val="00940D62"/>
    <w:rsid w:val="009430C3"/>
    <w:rsid w:val="009434AA"/>
    <w:rsid w:val="0094418C"/>
    <w:rsid w:val="00946E6B"/>
    <w:rsid w:val="00947573"/>
    <w:rsid w:val="00960558"/>
    <w:rsid w:val="00962F79"/>
    <w:rsid w:val="0096465D"/>
    <w:rsid w:val="00965B66"/>
    <w:rsid w:val="00965F63"/>
    <w:rsid w:val="009701BD"/>
    <w:rsid w:val="00972C3C"/>
    <w:rsid w:val="00973749"/>
    <w:rsid w:val="00975461"/>
    <w:rsid w:val="009763B0"/>
    <w:rsid w:val="00976484"/>
    <w:rsid w:val="00981C9A"/>
    <w:rsid w:val="009846D0"/>
    <w:rsid w:val="0098678F"/>
    <w:rsid w:val="00990F43"/>
    <w:rsid w:val="00992C94"/>
    <w:rsid w:val="00993449"/>
    <w:rsid w:val="00993492"/>
    <w:rsid w:val="00993DFC"/>
    <w:rsid w:val="00994238"/>
    <w:rsid w:val="00995D2D"/>
    <w:rsid w:val="00997910"/>
    <w:rsid w:val="009A1790"/>
    <w:rsid w:val="009A4495"/>
    <w:rsid w:val="009A467F"/>
    <w:rsid w:val="009A4BCB"/>
    <w:rsid w:val="009A4E70"/>
    <w:rsid w:val="009A7884"/>
    <w:rsid w:val="009B3052"/>
    <w:rsid w:val="009B627A"/>
    <w:rsid w:val="009C1E1F"/>
    <w:rsid w:val="009C207E"/>
    <w:rsid w:val="009C2E6B"/>
    <w:rsid w:val="009C4E53"/>
    <w:rsid w:val="009C5609"/>
    <w:rsid w:val="009D039E"/>
    <w:rsid w:val="009D0B1D"/>
    <w:rsid w:val="009D270E"/>
    <w:rsid w:val="009D3987"/>
    <w:rsid w:val="009D403A"/>
    <w:rsid w:val="009E080C"/>
    <w:rsid w:val="009E0C35"/>
    <w:rsid w:val="009E3144"/>
    <w:rsid w:val="009E56E9"/>
    <w:rsid w:val="009E5F12"/>
    <w:rsid w:val="009E7F85"/>
    <w:rsid w:val="009F2A46"/>
    <w:rsid w:val="009F2FF6"/>
    <w:rsid w:val="009F3910"/>
    <w:rsid w:val="009F4DD9"/>
    <w:rsid w:val="00A003C0"/>
    <w:rsid w:val="00A008D0"/>
    <w:rsid w:val="00A00C12"/>
    <w:rsid w:val="00A01B15"/>
    <w:rsid w:val="00A01B16"/>
    <w:rsid w:val="00A02048"/>
    <w:rsid w:val="00A04975"/>
    <w:rsid w:val="00A0535F"/>
    <w:rsid w:val="00A10794"/>
    <w:rsid w:val="00A145C1"/>
    <w:rsid w:val="00A179EE"/>
    <w:rsid w:val="00A21DA7"/>
    <w:rsid w:val="00A22130"/>
    <w:rsid w:val="00A254E6"/>
    <w:rsid w:val="00A2566C"/>
    <w:rsid w:val="00A261B5"/>
    <w:rsid w:val="00A26B55"/>
    <w:rsid w:val="00A271A1"/>
    <w:rsid w:val="00A2737D"/>
    <w:rsid w:val="00A3069E"/>
    <w:rsid w:val="00A32323"/>
    <w:rsid w:val="00A33A3F"/>
    <w:rsid w:val="00A35B81"/>
    <w:rsid w:val="00A368E6"/>
    <w:rsid w:val="00A37015"/>
    <w:rsid w:val="00A426D6"/>
    <w:rsid w:val="00A42739"/>
    <w:rsid w:val="00A42F60"/>
    <w:rsid w:val="00A442AA"/>
    <w:rsid w:val="00A462F4"/>
    <w:rsid w:val="00A470FA"/>
    <w:rsid w:val="00A51932"/>
    <w:rsid w:val="00A54A4B"/>
    <w:rsid w:val="00A55D5D"/>
    <w:rsid w:val="00A61588"/>
    <w:rsid w:val="00A74282"/>
    <w:rsid w:val="00A76544"/>
    <w:rsid w:val="00A770E1"/>
    <w:rsid w:val="00A773E0"/>
    <w:rsid w:val="00A8278A"/>
    <w:rsid w:val="00A84721"/>
    <w:rsid w:val="00A85AB9"/>
    <w:rsid w:val="00A912F3"/>
    <w:rsid w:val="00A914A0"/>
    <w:rsid w:val="00A92566"/>
    <w:rsid w:val="00A933DC"/>
    <w:rsid w:val="00A95277"/>
    <w:rsid w:val="00A9642D"/>
    <w:rsid w:val="00A97A69"/>
    <w:rsid w:val="00AA51FB"/>
    <w:rsid w:val="00AA52BB"/>
    <w:rsid w:val="00AB1851"/>
    <w:rsid w:val="00AB2243"/>
    <w:rsid w:val="00AB3E7D"/>
    <w:rsid w:val="00AB5336"/>
    <w:rsid w:val="00AB54C1"/>
    <w:rsid w:val="00AB56A9"/>
    <w:rsid w:val="00AB604B"/>
    <w:rsid w:val="00AB67A6"/>
    <w:rsid w:val="00AB6913"/>
    <w:rsid w:val="00AB7E7C"/>
    <w:rsid w:val="00AC05C1"/>
    <w:rsid w:val="00AC2C01"/>
    <w:rsid w:val="00AC423F"/>
    <w:rsid w:val="00AC45A0"/>
    <w:rsid w:val="00AC4767"/>
    <w:rsid w:val="00AD257B"/>
    <w:rsid w:val="00AD4B58"/>
    <w:rsid w:val="00AD559E"/>
    <w:rsid w:val="00AD7729"/>
    <w:rsid w:val="00AF19E5"/>
    <w:rsid w:val="00AF1CA9"/>
    <w:rsid w:val="00AF2A1E"/>
    <w:rsid w:val="00AF4C92"/>
    <w:rsid w:val="00AF5CD8"/>
    <w:rsid w:val="00AF713D"/>
    <w:rsid w:val="00B030B4"/>
    <w:rsid w:val="00B03D85"/>
    <w:rsid w:val="00B05168"/>
    <w:rsid w:val="00B062E7"/>
    <w:rsid w:val="00B103E3"/>
    <w:rsid w:val="00B11604"/>
    <w:rsid w:val="00B15544"/>
    <w:rsid w:val="00B15F55"/>
    <w:rsid w:val="00B17006"/>
    <w:rsid w:val="00B17543"/>
    <w:rsid w:val="00B17D75"/>
    <w:rsid w:val="00B20181"/>
    <w:rsid w:val="00B2052D"/>
    <w:rsid w:val="00B2133F"/>
    <w:rsid w:val="00B26D2A"/>
    <w:rsid w:val="00B30EA7"/>
    <w:rsid w:val="00B320DF"/>
    <w:rsid w:val="00B35E01"/>
    <w:rsid w:val="00B36364"/>
    <w:rsid w:val="00B4188F"/>
    <w:rsid w:val="00B46272"/>
    <w:rsid w:val="00B4699A"/>
    <w:rsid w:val="00B51CDD"/>
    <w:rsid w:val="00B537C0"/>
    <w:rsid w:val="00B53A5A"/>
    <w:rsid w:val="00B54AB4"/>
    <w:rsid w:val="00B55BFF"/>
    <w:rsid w:val="00B625E5"/>
    <w:rsid w:val="00B63499"/>
    <w:rsid w:val="00B636FA"/>
    <w:rsid w:val="00B64A05"/>
    <w:rsid w:val="00B66403"/>
    <w:rsid w:val="00B72849"/>
    <w:rsid w:val="00B7452E"/>
    <w:rsid w:val="00B77031"/>
    <w:rsid w:val="00B82BA2"/>
    <w:rsid w:val="00B84781"/>
    <w:rsid w:val="00B85CBF"/>
    <w:rsid w:val="00B8646B"/>
    <w:rsid w:val="00B913DB"/>
    <w:rsid w:val="00B91ABD"/>
    <w:rsid w:val="00B94632"/>
    <w:rsid w:val="00B9464E"/>
    <w:rsid w:val="00BA1634"/>
    <w:rsid w:val="00BA36F3"/>
    <w:rsid w:val="00BA4B3D"/>
    <w:rsid w:val="00BB1BC8"/>
    <w:rsid w:val="00BB566D"/>
    <w:rsid w:val="00BB5723"/>
    <w:rsid w:val="00BB77FB"/>
    <w:rsid w:val="00BC05F5"/>
    <w:rsid w:val="00BC19F3"/>
    <w:rsid w:val="00BD0955"/>
    <w:rsid w:val="00BE5759"/>
    <w:rsid w:val="00BE58AB"/>
    <w:rsid w:val="00BE5A91"/>
    <w:rsid w:val="00BE6765"/>
    <w:rsid w:val="00BE7CF6"/>
    <w:rsid w:val="00BF053A"/>
    <w:rsid w:val="00BF204F"/>
    <w:rsid w:val="00C04805"/>
    <w:rsid w:val="00C0603A"/>
    <w:rsid w:val="00C0787A"/>
    <w:rsid w:val="00C10985"/>
    <w:rsid w:val="00C114F9"/>
    <w:rsid w:val="00C11A6B"/>
    <w:rsid w:val="00C15ADD"/>
    <w:rsid w:val="00C227B3"/>
    <w:rsid w:val="00C22FBB"/>
    <w:rsid w:val="00C2308F"/>
    <w:rsid w:val="00C26686"/>
    <w:rsid w:val="00C27646"/>
    <w:rsid w:val="00C277A2"/>
    <w:rsid w:val="00C30E02"/>
    <w:rsid w:val="00C3105B"/>
    <w:rsid w:val="00C32F79"/>
    <w:rsid w:val="00C3508C"/>
    <w:rsid w:val="00C35F65"/>
    <w:rsid w:val="00C37EBE"/>
    <w:rsid w:val="00C40305"/>
    <w:rsid w:val="00C40F66"/>
    <w:rsid w:val="00C42254"/>
    <w:rsid w:val="00C4308F"/>
    <w:rsid w:val="00C44444"/>
    <w:rsid w:val="00C450D4"/>
    <w:rsid w:val="00C54B8E"/>
    <w:rsid w:val="00C557B5"/>
    <w:rsid w:val="00C55A7A"/>
    <w:rsid w:val="00C5642C"/>
    <w:rsid w:val="00C57B2B"/>
    <w:rsid w:val="00C61900"/>
    <w:rsid w:val="00C62CA4"/>
    <w:rsid w:val="00C71441"/>
    <w:rsid w:val="00C80E0B"/>
    <w:rsid w:val="00C8153F"/>
    <w:rsid w:val="00C8188D"/>
    <w:rsid w:val="00C81A21"/>
    <w:rsid w:val="00C844A2"/>
    <w:rsid w:val="00C84D48"/>
    <w:rsid w:val="00C85755"/>
    <w:rsid w:val="00C85D88"/>
    <w:rsid w:val="00C87A5B"/>
    <w:rsid w:val="00C87F43"/>
    <w:rsid w:val="00C9236C"/>
    <w:rsid w:val="00C938BF"/>
    <w:rsid w:val="00C93C70"/>
    <w:rsid w:val="00C945ED"/>
    <w:rsid w:val="00CA04A1"/>
    <w:rsid w:val="00CA2021"/>
    <w:rsid w:val="00CA2D45"/>
    <w:rsid w:val="00CA443A"/>
    <w:rsid w:val="00CA7D55"/>
    <w:rsid w:val="00CB3196"/>
    <w:rsid w:val="00CB4788"/>
    <w:rsid w:val="00CB65C1"/>
    <w:rsid w:val="00CC00C9"/>
    <w:rsid w:val="00CC042E"/>
    <w:rsid w:val="00CC5F59"/>
    <w:rsid w:val="00CD3397"/>
    <w:rsid w:val="00CD4BEC"/>
    <w:rsid w:val="00CD5702"/>
    <w:rsid w:val="00CD5A07"/>
    <w:rsid w:val="00CD6F38"/>
    <w:rsid w:val="00CE080F"/>
    <w:rsid w:val="00CE09F0"/>
    <w:rsid w:val="00CE5392"/>
    <w:rsid w:val="00CE5447"/>
    <w:rsid w:val="00CE738D"/>
    <w:rsid w:val="00CF2E18"/>
    <w:rsid w:val="00CF48BF"/>
    <w:rsid w:val="00D00D92"/>
    <w:rsid w:val="00D0395D"/>
    <w:rsid w:val="00D045D3"/>
    <w:rsid w:val="00D0683F"/>
    <w:rsid w:val="00D102FC"/>
    <w:rsid w:val="00D11526"/>
    <w:rsid w:val="00D149FF"/>
    <w:rsid w:val="00D1548C"/>
    <w:rsid w:val="00D15CB0"/>
    <w:rsid w:val="00D17543"/>
    <w:rsid w:val="00D202F8"/>
    <w:rsid w:val="00D205D2"/>
    <w:rsid w:val="00D20C7D"/>
    <w:rsid w:val="00D2285B"/>
    <w:rsid w:val="00D22B03"/>
    <w:rsid w:val="00D2760B"/>
    <w:rsid w:val="00D27F62"/>
    <w:rsid w:val="00D31197"/>
    <w:rsid w:val="00D511FE"/>
    <w:rsid w:val="00D51703"/>
    <w:rsid w:val="00D51BA4"/>
    <w:rsid w:val="00D534A7"/>
    <w:rsid w:val="00D53F3E"/>
    <w:rsid w:val="00D63077"/>
    <w:rsid w:val="00D637DA"/>
    <w:rsid w:val="00D63C18"/>
    <w:rsid w:val="00D63C97"/>
    <w:rsid w:val="00D67198"/>
    <w:rsid w:val="00D67537"/>
    <w:rsid w:val="00D72247"/>
    <w:rsid w:val="00D76CCA"/>
    <w:rsid w:val="00D775CD"/>
    <w:rsid w:val="00D77FC6"/>
    <w:rsid w:val="00D81527"/>
    <w:rsid w:val="00D828DF"/>
    <w:rsid w:val="00D837EA"/>
    <w:rsid w:val="00D863D9"/>
    <w:rsid w:val="00D93F22"/>
    <w:rsid w:val="00DA105A"/>
    <w:rsid w:val="00DA487C"/>
    <w:rsid w:val="00DA4CE6"/>
    <w:rsid w:val="00DA5017"/>
    <w:rsid w:val="00DB131E"/>
    <w:rsid w:val="00DB1598"/>
    <w:rsid w:val="00DB4D79"/>
    <w:rsid w:val="00DB5ABD"/>
    <w:rsid w:val="00DB63E1"/>
    <w:rsid w:val="00DB746A"/>
    <w:rsid w:val="00DC527C"/>
    <w:rsid w:val="00DC6A3D"/>
    <w:rsid w:val="00DD1B94"/>
    <w:rsid w:val="00DD1CA1"/>
    <w:rsid w:val="00DD3BAB"/>
    <w:rsid w:val="00DD6C4F"/>
    <w:rsid w:val="00DE27EA"/>
    <w:rsid w:val="00DE2E61"/>
    <w:rsid w:val="00DE4D60"/>
    <w:rsid w:val="00DE6ED9"/>
    <w:rsid w:val="00DE7636"/>
    <w:rsid w:val="00DE7D3F"/>
    <w:rsid w:val="00DF1667"/>
    <w:rsid w:val="00DF1E2E"/>
    <w:rsid w:val="00DF40BA"/>
    <w:rsid w:val="00DF471B"/>
    <w:rsid w:val="00DF705B"/>
    <w:rsid w:val="00E0002B"/>
    <w:rsid w:val="00E00A98"/>
    <w:rsid w:val="00E03F14"/>
    <w:rsid w:val="00E05E74"/>
    <w:rsid w:val="00E06C1E"/>
    <w:rsid w:val="00E06E4F"/>
    <w:rsid w:val="00E06FFE"/>
    <w:rsid w:val="00E07D81"/>
    <w:rsid w:val="00E12A81"/>
    <w:rsid w:val="00E136D8"/>
    <w:rsid w:val="00E13A8A"/>
    <w:rsid w:val="00E17A0B"/>
    <w:rsid w:val="00E17B73"/>
    <w:rsid w:val="00E20942"/>
    <w:rsid w:val="00E24ABE"/>
    <w:rsid w:val="00E255F8"/>
    <w:rsid w:val="00E26EEB"/>
    <w:rsid w:val="00E322E9"/>
    <w:rsid w:val="00E328A0"/>
    <w:rsid w:val="00E3345A"/>
    <w:rsid w:val="00E35134"/>
    <w:rsid w:val="00E37550"/>
    <w:rsid w:val="00E37F68"/>
    <w:rsid w:val="00E40B7F"/>
    <w:rsid w:val="00E44D45"/>
    <w:rsid w:val="00E45953"/>
    <w:rsid w:val="00E4756F"/>
    <w:rsid w:val="00E47778"/>
    <w:rsid w:val="00E52E82"/>
    <w:rsid w:val="00E5520B"/>
    <w:rsid w:val="00E61C63"/>
    <w:rsid w:val="00E6651D"/>
    <w:rsid w:val="00E71A28"/>
    <w:rsid w:val="00E72822"/>
    <w:rsid w:val="00E72F81"/>
    <w:rsid w:val="00E73B6F"/>
    <w:rsid w:val="00E743BF"/>
    <w:rsid w:val="00E768F5"/>
    <w:rsid w:val="00E801E5"/>
    <w:rsid w:val="00E837E2"/>
    <w:rsid w:val="00E8423E"/>
    <w:rsid w:val="00E87346"/>
    <w:rsid w:val="00E94D3E"/>
    <w:rsid w:val="00E96E44"/>
    <w:rsid w:val="00EA0886"/>
    <w:rsid w:val="00EA0C46"/>
    <w:rsid w:val="00EA0E59"/>
    <w:rsid w:val="00EA11B9"/>
    <w:rsid w:val="00EA215A"/>
    <w:rsid w:val="00EA6481"/>
    <w:rsid w:val="00EA7133"/>
    <w:rsid w:val="00EA77A1"/>
    <w:rsid w:val="00EB187E"/>
    <w:rsid w:val="00EB1D9B"/>
    <w:rsid w:val="00EB36AE"/>
    <w:rsid w:val="00EB4DDE"/>
    <w:rsid w:val="00EB4FC7"/>
    <w:rsid w:val="00EB746C"/>
    <w:rsid w:val="00EB7E4B"/>
    <w:rsid w:val="00EC0DBF"/>
    <w:rsid w:val="00EC45E7"/>
    <w:rsid w:val="00EC6A33"/>
    <w:rsid w:val="00ED0A0D"/>
    <w:rsid w:val="00ED2462"/>
    <w:rsid w:val="00ED4708"/>
    <w:rsid w:val="00ED6F38"/>
    <w:rsid w:val="00EE1963"/>
    <w:rsid w:val="00EE1CA9"/>
    <w:rsid w:val="00EE2B0C"/>
    <w:rsid w:val="00EE3495"/>
    <w:rsid w:val="00EE460B"/>
    <w:rsid w:val="00EE5EF3"/>
    <w:rsid w:val="00EE6FD1"/>
    <w:rsid w:val="00EE76D0"/>
    <w:rsid w:val="00EF0EB9"/>
    <w:rsid w:val="00EF2949"/>
    <w:rsid w:val="00F00210"/>
    <w:rsid w:val="00F01309"/>
    <w:rsid w:val="00F01CF1"/>
    <w:rsid w:val="00F063BA"/>
    <w:rsid w:val="00F06C68"/>
    <w:rsid w:val="00F07535"/>
    <w:rsid w:val="00F102D6"/>
    <w:rsid w:val="00F1169E"/>
    <w:rsid w:val="00F12CA4"/>
    <w:rsid w:val="00F14F05"/>
    <w:rsid w:val="00F15DB5"/>
    <w:rsid w:val="00F16229"/>
    <w:rsid w:val="00F16E18"/>
    <w:rsid w:val="00F221C0"/>
    <w:rsid w:val="00F243C7"/>
    <w:rsid w:val="00F2493B"/>
    <w:rsid w:val="00F30669"/>
    <w:rsid w:val="00F35A73"/>
    <w:rsid w:val="00F378D3"/>
    <w:rsid w:val="00F418D1"/>
    <w:rsid w:val="00F41DFF"/>
    <w:rsid w:val="00F44627"/>
    <w:rsid w:val="00F44B50"/>
    <w:rsid w:val="00F51FAD"/>
    <w:rsid w:val="00F5276E"/>
    <w:rsid w:val="00F53988"/>
    <w:rsid w:val="00F62276"/>
    <w:rsid w:val="00F64CEC"/>
    <w:rsid w:val="00F662D2"/>
    <w:rsid w:val="00F66DFE"/>
    <w:rsid w:val="00F708CF"/>
    <w:rsid w:val="00F72A73"/>
    <w:rsid w:val="00F72B52"/>
    <w:rsid w:val="00F73FBE"/>
    <w:rsid w:val="00F740FB"/>
    <w:rsid w:val="00F75ECC"/>
    <w:rsid w:val="00F768F1"/>
    <w:rsid w:val="00F77A31"/>
    <w:rsid w:val="00F8270E"/>
    <w:rsid w:val="00F84436"/>
    <w:rsid w:val="00F846AA"/>
    <w:rsid w:val="00F864BF"/>
    <w:rsid w:val="00F91F3E"/>
    <w:rsid w:val="00F9271F"/>
    <w:rsid w:val="00F952C8"/>
    <w:rsid w:val="00FA35A9"/>
    <w:rsid w:val="00FA6A2A"/>
    <w:rsid w:val="00FB099D"/>
    <w:rsid w:val="00FB1412"/>
    <w:rsid w:val="00FB25C4"/>
    <w:rsid w:val="00FB4308"/>
    <w:rsid w:val="00FB5C9A"/>
    <w:rsid w:val="00FB7699"/>
    <w:rsid w:val="00FC143B"/>
    <w:rsid w:val="00FC7ADE"/>
    <w:rsid w:val="00FD33AA"/>
    <w:rsid w:val="00FE1D06"/>
    <w:rsid w:val="00FE3E74"/>
    <w:rsid w:val="00FE3F88"/>
    <w:rsid w:val="00FE5424"/>
    <w:rsid w:val="00FE65B8"/>
    <w:rsid w:val="00FF2D9A"/>
    <w:rsid w:val="00FF3D72"/>
    <w:rsid w:val="00FF42CD"/>
    <w:rsid w:val="00FF4F9B"/>
    <w:rsid w:val="00FF740D"/>
    <w:rsid w:val="01848572"/>
    <w:rsid w:val="0487288C"/>
    <w:rsid w:val="053EBEFF"/>
    <w:rsid w:val="061492E5"/>
    <w:rsid w:val="062CEABF"/>
    <w:rsid w:val="0670BAFE"/>
    <w:rsid w:val="067FF2B0"/>
    <w:rsid w:val="06BAE212"/>
    <w:rsid w:val="0704CB01"/>
    <w:rsid w:val="07759FE8"/>
    <w:rsid w:val="07C12F46"/>
    <w:rsid w:val="0823B9D0"/>
    <w:rsid w:val="0B76D0AD"/>
    <w:rsid w:val="0B7B3322"/>
    <w:rsid w:val="0B8F4E0B"/>
    <w:rsid w:val="0C572470"/>
    <w:rsid w:val="0EE51DA1"/>
    <w:rsid w:val="130ACABE"/>
    <w:rsid w:val="13D5040E"/>
    <w:rsid w:val="144FA7F7"/>
    <w:rsid w:val="145F1D4D"/>
    <w:rsid w:val="14B6261F"/>
    <w:rsid w:val="14CBECA2"/>
    <w:rsid w:val="15130BC4"/>
    <w:rsid w:val="152FF63F"/>
    <w:rsid w:val="15EF8A2B"/>
    <w:rsid w:val="160810AF"/>
    <w:rsid w:val="1639C3D6"/>
    <w:rsid w:val="17BE6D0F"/>
    <w:rsid w:val="17C4640E"/>
    <w:rsid w:val="17E3D107"/>
    <w:rsid w:val="18A95B9B"/>
    <w:rsid w:val="18C64ED7"/>
    <w:rsid w:val="1965C001"/>
    <w:rsid w:val="1A0B8A46"/>
    <w:rsid w:val="1AE5656F"/>
    <w:rsid w:val="1BD9A0F8"/>
    <w:rsid w:val="1CE55F61"/>
    <w:rsid w:val="1E2482F9"/>
    <w:rsid w:val="1E8CEACC"/>
    <w:rsid w:val="1ED9AD90"/>
    <w:rsid w:val="1F007758"/>
    <w:rsid w:val="1F110985"/>
    <w:rsid w:val="1F83B9B4"/>
    <w:rsid w:val="1FEC6A68"/>
    <w:rsid w:val="200220EE"/>
    <w:rsid w:val="2003BD8C"/>
    <w:rsid w:val="2055129A"/>
    <w:rsid w:val="206CC7A9"/>
    <w:rsid w:val="20E86EFF"/>
    <w:rsid w:val="2128C8B7"/>
    <w:rsid w:val="21B1448A"/>
    <w:rsid w:val="21BE2318"/>
    <w:rsid w:val="232E43EC"/>
    <w:rsid w:val="23E048D0"/>
    <w:rsid w:val="23E5808E"/>
    <w:rsid w:val="2566B8F6"/>
    <w:rsid w:val="25B8E815"/>
    <w:rsid w:val="25DD9A7B"/>
    <w:rsid w:val="25F47110"/>
    <w:rsid w:val="26168531"/>
    <w:rsid w:val="287153B5"/>
    <w:rsid w:val="28B0EA4A"/>
    <w:rsid w:val="29A653F0"/>
    <w:rsid w:val="2B1286F8"/>
    <w:rsid w:val="2C838A9E"/>
    <w:rsid w:val="2E25A582"/>
    <w:rsid w:val="2E32F825"/>
    <w:rsid w:val="2E941F52"/>
    <w:rsid w:val="2EA11589"/>
    <w:rsid w:val="2F4470E5"/>
    <w:rsid w:val="30A994F2"/>
    <w:rsid w:val="31931297"/>
    <w:rsid w:val="31BDA37F"/>
    <w:rsid w:val="3219D7C0"/>
    <w:rsid w:val="33DC0D40"/>
    <w:rsid w:val="3410B2CF"/>
    <w:rsid w:val="3488195C"/>
    <w:rsid w:val="34BB41F5"/>
    <w:rsid w:val="3540714C"/>
    <w:rsid w:val="3564B1C7"/>
    <w:rsid w:val="364BA296"/>
    <w:rsid w:val="365A5EBB"/>
    <w:rsid w:val="3850F958"/>
    <w:rsid w:val="392422EA"/>
    <w:rsid w:val="3A0C7D63"/>
    <w:rsid w:val="3A40E644"/>
    <w:rsid w:val="3B7B3E5C"/>
    <w:rsid w:val="3BCAD161"/>
    <w:rsid w:val="3CA3F70D"/>
    <w:rsid w:val="3CC83D84"/>
    <w:rsid w:val="3DAFA857"/>
    <w:rsid w:val="3E717807"/>
    <w:rsid w:val="3F296F01"/>
    <w:rsid w:val="4018120B"/>
    <w:rsid w:val="40551C53"/>
    <w:rsid w:val="406EEFF0"/>
    <w:rsid w:val="4163C17E"/>
    <w:rsid w:val="41FCCFBC"/>
    <w:rsid w:val="427D0ED1"/>
    <w:rsid w:val="435D5702"/>
    <w:rsid w:val="4390E86D"/>
    <w:rsid w:val="43DDE238"/>
    <w:rsid w:val="44C296AD"/>
    <w:rsid w:val="46033887"/>
    <w:rsid w:val="461C3048"/>
    <w:rsid w:val="4708E97A"/>
    <w:rsid w:val="4751CD7A"/>
    <w:rsid w:val="48D8661E"/>
    <w:rsid w:val="48DBA0C7"/>
    <w:rsid w:val="4968F993"/>
    <w:rsid w:val="49CBA406"/>
    <w:rsid w:val="49DBC4C3"/>
    <w:rsid w:val="4A0978D0"/>
    <w:rsid w:val="4A6A6C63"/>
    <w:rsid w:val="4A7992CD"/>
    <w:rsid w:val="4B547B77"/>
    <w:rsid w:val="4C0AAF40"/>
    <w:rsid w:val="4C4BA247"/>
    <w:rsid w:val="4EABE5C6"/>
    <w:rsid w:val="4F5F2D7C"/>
    <w:rsid w:val="4F99930F"/>
    <w:rsid w:val="511FB89D"/>
    <w:rsid w:val="514DCC8F"/>
    <w:rsid w:val="51FC85A7"/>
    <w:rsid w:val="52A5CDA6"/>
    <w:rsid w:val="53F84114"/>
    <w:rsid w:val="540FDDFD"/>
    <w:rsid w:val="541535D2"/>
    <w:rsid w:val="5456A317"/>
    <w:rsid w:val="55B9E09B"/>
    <w:rsid w:val="55C062A7"/>
    <w:rsid w:val="5600A00D"/>
    <w:rsid w:val="56C2B85A"/>
    <w:rsid w:val="56CA276E"/>
    <w:rsid w:val="57067C3A"/>
    <w:rsid w:val="582E0DDD"/>
    <w:rsid w:val="58C2C495"/>
    <w:rsid w:val="59137B93"/>
    <w:rsid w:val="59186A49"/>
    <w:rsid w:val="5933F8B8"/>
    <w:rsid w:val="59598C4A"/>
    <w:rsid w:val="59AA18E2"/>
    <w:rsid w:val="5A412CB7"/>
    <w:rsid w:val="5A452250"/>
    <w:rsid w:val="5AFC5231"/>
    <w:rsid w:val="5B7B0054"/>
    <w:rsid w:val="5BD98D01"/>
    <w:rsid w:val="5BE47DFF"/>
    <w:rsid w:val="5C469447"/>
    <w:rsid w:val="5CDF95E3"/>
    <w:rsid w:val="5D5943FA"/>
    <w:rsid w:val="5DCAAB2F"/>
    <w:rsid w:val="5E4F436B"/>
    <w:rsid w:val="6001BC81"/>
    <w:rsid w:val="60A20A3E"/>
    <w:rsid w:val="6253E80A"/>
    <w:rsid w:val="625A3B93"/>
    <w:rsid w:val="62E6A058"/>
    <w:rsid w:val="62F1A00B"/>
    <w:rsid w:val="635ECD66"/>
    <w:rsid w:val="63639B35"/>
    <w:rsid w:val="6569A907"/>
    <w:rsid w:val="65DB2BE0"/>
    <w:rsid w:val="66A91CCC"/>
    <w:rsid w:val="670B84C4"/>
    <w:rsid w:val="679EBABA"/>
    <w:rsid w:val="67D9ED9A"/>
    <w:rsid w:val="67F24332"/>
    <w:rsid w:val="6830DDA7"/>
    <w:rsid w:val="68EFFBCA"/>
    <w:rsid w:val="690241EE"/>
    <w:rsid w:val="6A280929"/>
    <w:rsid w:val="6A403188"/>
    <w:rsid w:val="6CBB1584"/>
    <w:rsid w:val="6CE07B06"/>
    <w:rsid w:val="6CEF02DF"/>
    <w:rsid w:val="6D599D84"/>
    <w:rsid w:val="6F269B28"/>
    <w:rsid w:val="6F36CB5C"/>
    <w:rsid w:val="71369C29"/>
    <w:rsid w:val="7298EE09"/>
    <w:rsid w:val="72DDDB9F"/>
    <w:rsid w:val="7348EE79"/>
    <w:rsid w:val="7351326F"/>
    <w:rsid w:val="74BF2AC6"/>
    <w:rsid w:val="75476719"/>
    <w:rsid w:val="77D01EC0"/>
    <w:rsid w:val="78C4B4F7"/>
    <w:rsid w:val="79373684"/>
    <w:rsid w:val="7A064245"/>
    <w:rsid w:val="7AAAD26D"/>
    <w:rsid w:val="7C0CBC7B"/>
    <w:rsid w:val="7CE9F100"/>
    <w:rsid w:val="7D864342"/>
    <w:rsid w:val="7FB530B9"/>
    <w:rsid w:val="7FCAEE00"/>
    <w:rsid w:val="7FE4A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2D65"/>
  <w15:docId w15:val="{EE9C7ACC-EC7A-45DE-8ED3-4410777A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2B"/>
    <w:pPr>
      <w:spacing w:after="200" w:line="276" w:lineRule="auto"/>
    </w:pPr>
    <w:rPr>
      <w:rFonts w:eastAsiaTheme="minorEastAsia"/>
    </w:rPr>
  </w:style>
  <w:style w:type="paragraph" w:styleId="Heading1">
    <w:name w:val="heading 1"/>
    <w:basedOn w:val="Normal"/>
    <w:next w:val="Normal"/>
    <w:link w:val="Heading1Char"/>
    <w:uiPriority w:val="9"/>
    <w:qFormat/>
    <w:rsid w:val="00C227B3"/>
    <w:pPr>
      <w:spacing w:after="0" w:line="240" w:lineRule="auto"/>
      <w:outlineLvl w:val="0"/>
    </w:pPr>
    <w:rPr>
      <w:rFonts w:ascii="Calibri" w:eastAsia="Calibri" w:hAnsi="Calibri" w:cs="Calibr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2B"/>
    <w:rPr>
      <w:rFonts w:eastAsiaTheme="minorEastAsia"/>
    </w:rPr>
  </w:style>
  <w:style w:type="paragraph" w:styleId="Footer">
    <w:name w:val="footer"/>
    <w:basedOn w:val="Normal"/>
    <w:link w:val="FooterChar"/>
    <w:uiPriority w:val="99"/>
    <w:unhideWhenUsed/>
    <w:rsid w:val="00C57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2B"/>
    <w:rPr>
      <w:rFonts w:eastAsiaTheme="minorEastAsia"/>
    </w:rPr>
  </w:style>
  <w:style w:type="table" w:styleId="TableGrid">
    <w:name w:val="Table Grid"/>
    <w:basedOn w:val="TableNormal"/>
    <w:uiPriority w:val="59"/>
    <w:rsid w:val="00C57B2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7B2B"/>
    <w:pPr>
      <w:ind w:left="720"/>
      <w:contextualSpacing/>
    </w:pPr>
  </w:style>
  <w:style w:type="character" w:styleId="Hyperlink">
    <w:name w:val="Hyperlink"/>
    <w:basedOn w:val="DefaultParagraphFont"/>
    <w:uiPriority w:val="99"/>
    <w:unhideWhenUsed/>
    <w:rsid w:val="00C57B2B"/>
    <w:rPr>
      <w:color w:val="0000FF" w:themeColor="hyperlink"/>
      <w:u w:val="single"/>
    </w:rPr>
  </w:style>
  <w:style w:type="character" w:styleId="CommentReference">
    <w:name w:val="annotation reference"/>
    <w:basedOn w:val="DefaultParagraphFont"/>
    <w:uiPriority w:val="99"/>
    <w:semiHidden/>
    <w:unhideWhenUsed/>
    <w:rsid w:val="00C57B2B"/>
    <w:rPr>
      <w:sz w:val="16"/>
      <w:szCs w:val="16"/>
    </w:rPr>
  </w:style>
  <w:style w:type="paragraph" w:styleId="CommentText">
    <w:name w:val="annotation text"/>
    <w:basedOn w:val="Normal"/>
    <w:link w:val="CommentTextChar"/>
    <w:uiPriority w:val="99"/>
    <w:unhideWhenUsed/>
    <w:rsid w:val="00C57B2B"/>
    <w:pPr>
      <w:spacing w:line="240" w:lineRule="auto"/>
    </w:pPr>
    <w:rPr>
      <w:sz w:val="20"/>
      <w:szCs w:val="20"/>
    </w:rPr>
  </w:style>
  <w:style w:type="character" w:customStyle="1" w:styleId="CommentTextChar">
    <w:name w:val="Comment Text Char"/>
    <w:basedOn w:val="DefaultParagraphFont"/>
    <w:link w:val="CommentText"/>
    <w:uiPriority w:val="99"/>
    <w:rsid w:val="00C57B2B"/>
    <w:rPr>
      <w:rFonts w:eastAsiaTheme="minorEastAsia"/>
      <w:sz w:val="20"/>
      <w:szCs w:val="20"/>
    </w:rPr>
  </w:style>
  <w:style w:type="paragraph" w:styleId="FootnoteText">
    <w:name w:val="footnote text"/>
    <w:basedOn w:val="Normal"/>
    <w:link w:val="FootnoteTextChar"/>
    <w:uiPriority w:val="99"/>
    <w:unhideWhenUsed/>
    <w:rsid w:val="00C57B2B"/>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57B2B"/>
    <w:rPr>
      <w:rFonts w:ascii="Calibri" w:eastAsia="Calibri" w:hAnsi="Calibri" w:cs="Times New Roman"/>
      <w:sz w:val="20"/>
      <w:szCs w:val="20"/>
    </w:rPr>
  </w:style>
  <w:style w:type="character" w:styleId="FootnoteReference">
    <w:name w:val="footnote reference"/>
    <w:basedOn w:val="DefaultParagraphFont"/>
    <w:uiPriority w:val="99"/>
    <w:unhideWhenUsed/>
    <w:rsid w:val="00C57B2B"/>
    <w:rPr>
      <w:vertAlign w:val="superscript"/>
    </w:rPr>
  </w:style>
  <w:style w:type="paragraph" w:styleId="BalloonText">
    <w:name w:val="Balloon Text"/>
    <w:basedOn w:val="Normal"/>
    <w:link w:val="BalloonTextChar"/>
    <w:uiPriority w:val="99"/>
    <w:semiHidden/>
    <w:unhideWhenUsed/>
    <w:rsid w:val="00C57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B2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57B2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46272"/>
    <w:rPr>
      <w:b/>
      <w:bCs/>
    </w:rPr>
  </w:style>
  <w:style w:type="character" w:customStyle="1" w:styleId="CommentSubjectChar">
    <w:name w:val="Comment Subject Char"/>
    <w:basedOn w:val="CommentTextChar"/>
    <w:link w:val="CommentSubject"/>
    <w:uiPriority w:val="99"/>
    <w:semiHidden/>
    <w:rsid w:val="00B46272"/>
    <w:rPr>
      <w:rFonts w:eastAsiaTheme="minorEastAsia"/>
      <w:b/>
      <w:bCs/>
      <w:sz w:val="20"/>
      <w:szCs w:val="20"/>
    </w:rPr>
  </w:style>
  <w:style w:type="paragraph" w:styleId="Revision">
    <w:name w:val="Revision"/>
    <w:hidden/>
    <w:uiPriority w:val="99"/>
    <w:semiHidden/>
    <w:rsid w:val="00580AFC"/>
    <w:pPr>
      <w:spacing w:after="0" w:line="240" w:lineRule="auto"/>
    </w:pPr>
    <w:rPr>
      <w:rFonts w:eastAsiaTheme="minorEastAsia"/>
    </w:rPr>
  </w:style>
  <w:style w:type="paragraph" w:styleId="NormalWeb">
    <w:name w:val="Normal (Web)"/>
    <w:basedOn w:val="Normal"/>
    <w:uiPriority w:val="99"/>
    <w:semiHidden/>
    <w:unhideWhenUsed/>
    <w:rsid w:val="008017B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12692"/>
    <w:rPr>
      <w:color w:val="605E5C"/>
      <w:shd w:val="clear" w:color="auto" w:fill="E1DFDD"/>
    </w:rPr>
  </w:style>
  <w:style w:type="character" w:styleId="UnresolvedMention">
    <w:name w:val="Unresolved Mention"/>
    <w:basedOn w:val="DefaultParagraphFont"/>
    <w:uiPriority w:val="99"/>
    <w:semiHidden/>
    <w:unhideWhenUsed/>
    <w:rsid w:val="00F102D6"/>
    <w:rPr>
      <w:color w:val="605E5C"/>
      <w:shd w:val="clear" w:color="auto" w:fill="E1DFDD"/>
    </w:rPr>
  </w:style>
  <w:style w:type="character" w:styleId="Mention">
    <w:name w:val="Mention"/>
    <w:basedOn w:val="DefaultParagraphFont"/>
    <w:uiPriority w:val="99"/>
    <w:unhideWhenUsed/>
    <w:rsid w:val="008C712F"/>
    <w:rPr>
      <w:color w:val="2B579A"/>
      <w:shd w:val="clear" w:color="auto" w:fill="E1DFDD"/>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C227B3"/>
    <w:rPr>
      <w:rFonts w:ascii="Calibri" w:eastAsia="Calibri" w:hAnsi="Calibri" w:cs="Calibri"/>
      <w:b/>
      <w:bCs/>
      <w:color w:val="000000" w:themeColor="text1"/>
    </w:rPr>
  </w:style>
  <w:style w:type="paragraph" w:styleId="EndnoteText">
    <w:name w:val="endnote text"/>
    <w:basedOn w:val="Normal"/>
    <w:link w:val="EndnoteTextChar"/>
    <w:uiPriority w:val="99"/>
    <w:semiHidden/>
    <w:unhideWhenUsed/>
    <w:rsid w:val="00117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7F64"/>
    <w:rPr>
      <w:rFonts w:eastAsiaTheme="minorEastAsia"/>
      <w:sz w:val="20"/>
      <w:szCs w:val="20"/>
    </w:rPr>
  </w:style>
  <w:style w:type="character" w:styleId="EndnoteReference">
    <w:name w:val="endnote reference"/>
    <w:basedOn w:val="DefaultParagraphFont"/>
    <w:uiPriority w:val="99"/>
    <w:semiHidden/>
    <w:unhideWhenUsed/>
    <w:rsid w:val="00117F64"/>
    <w:rPr>
      <w:vertAlign w:val="superscript"/>
    </w:rPr>
  </w:style>
  <w:style w:type="paragraph" w:styleId="Caption">
    <w:name w:val="caption"/>
    <w:basedOn w:val="Normal"/>
    <w:next w:val="Normal"/>
    <w:uiPriority w:val="35"/>
    <w:unhideWhenUsed/>
    <w:qFormat/>
    <w:rsid w:val="00A0204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78">
      <w:bodyDiv w:val="1"/>
      <w:marLeft w:val="0"/>
      <w:marRight w:val="0"/>
      <w:marTop w:val="0"/>
      <w:marBottom w:val="0"/>
      <w:divBdr>
        <w:top w:val="none" w:sz="0" w:space="0" w:color="auto"/>
        <w:left w:val="none" w:sz="0" w:space="0" w:color="auto"/>
        <w:bottom w:val="none" w:sz="0" w:space="0" w:color="auto"/>
        <w:right w:val="none" w:sz="0" w:space="0" w:color="auto"/>
      </w:divBdr>
    </w:div>
    <w:div w:id="45765411">
      <w:bodyDiv w:val="1"/>
      <w:marLeft w:val="0"/>
      <w:marRight w:val="0"/>
      <w:marTop w:val="0"/>
      <w:marBottom w:val="0"/>
      <w:divBdr>
        <w:top w:val="none" w:sz="0" w:space="0" w:color="auto"/>
        <w:left w:val="none" w:sz="0" w:space="0" w:color="auto"/>
        <w:bottom w:val="none" w:sz="0" w:space="0" w:color="auto"/>
        <w:right w:val="none" w:sz="0" w:space="0" w:color="auto"/>
      </w:divBdr>
    </w:div>
    <w:div w:id="86000103">
      <w:bodyDiv w:val="1"/>
      <w:marLeft w:val="0"/>
      <w:marRight w:val="0"/>
      <w:marTop w:val="0"/>
      <w:marBottom w:val="0"/>
      <w:divBdr>
        <w:top w:val="none" w:sz="0" w:space="0" w:color="auto"/>
        <w:left w:val="none" w:sz="0" w:space="0" w:color="auto"/>
        <w:bottom w:val="none" w:sz="0" w:space="0" w:color="auto"/>
        <w:right w:val="none" w:sz="0" w:space="0" w:color="auto"/>
      </w:divBdr>
    </w:div>
    <w:div w:id="100079284">
      <w:bodyDiv w:val="1"/>
      <w:marLeft w:val="0"/>
      <w:marRight w:val="0"/>
      <w:marTop w:val="0"/>
      <w:marBottom w:val="0"/>
      <w:divBdr>
        <w:top w:val="none" w:sz="0" w:space="0" w:color="auto"/>
        <w:left w:val="none" w:sz="0" w:space="0" w:color="auto"/>
        <w:bottom w:val="none" w:sz="0" w:space="0" w:color="auto"/>
        <w:right w:val="none" w:sz="0" w:space="0" w:color="auto"/>
      </w:divBdr>
    </w:div>
    <w:div w:id="152334921">
      <w:bodyDiv w:val="1"/>
      <w:marLeft w:val="0"/>
      <w:marRight w:val="0"/>
      <w:marTop w:val="0"/>
      <w:marBottom w:val="0"/>
      <w:divBdr>
        <w:top w:val="none" w:sz="0" w:space="0" w:color="auto"/>
        <w:left w:val="none" w:sz="0" w:space="0" w:color="auto"/>
        <w:bottom w:val="none" w:sz="0" w:space="0" w:color="auto"/>
        <w:right w:val="none" w:sz="0" w:space="0" w:color="auto"/>
      </w:divBdr>
    </w:div>
    <w:div w:id="192353281">
      <w:bodyDiv w:val="1"/>
      <w:marLeft w:val="0"/>
      <w:marRight w:val="0"/>
      <w:marTop w:val="0"/>
      <w:marBottom w:val="0"/>
      <w:divBdr>
        <w:top w:val="none" w:sz="0" w:space="0" w:color="auto"/>
        <w:left w:val="none" w:sz="0" w:space="0" w:color="auto"/>
        <w:bottom w:val="none" w:sz="0" w:space="0" w:color="auto"/>
        <w:right w:val="none" w:sz="0" w:space="0" w:color="auto"/>
      </w:divBdr>
      <w:divsChild>
        <w:div w:id="2019112594">
          <w:marLeft w:val="0"/>
          <w:marRight w:val="0"/>
          <w:marTop w:val="0"/>
          <w:marBottom w:val="0"/>
          <w:divBdr>
            <w:top w:val="none" w:sz="0" w:space="0" w:color="auto"/>
            <w:left w:val="none" w:sz="0" w:space="0" w:color="auto"/>
            <w:bottom w:val="none" w:sz="0" w:space="0" w:color="auto"/>
            <w:right w:val="none" w:sz="0" w:space="0" w:color="auto"/>
          </w:divBdr>
        </w:div>
      </w:divsChild>
    </w:div>
    <w:div w:id="219246849">
      <w:bodyDiv w:val="1"/>
      <w:marLeft w:val="0"/>
      <w:marRight w:val="0"/>
      <w:marTop w:val="0"/>
      <w:marBottom w:val="0"/>
      <w:divBdr>
        <w:top w:val="none" w:sz="0" w:space="0" w:color="auto"/>
        <w:left w:val="none" w:sz="0" w:space="0" w:color="auto"/>
        <w:bottom w:val="none" w:sz="0" w:space="0" w:color="auto"/>
        <w:right w:val="none" w:sz="0" w:space="0" w:color="auto"/>
      </w:divBdr>
    </w:div>
    <w:div w:id="225069880">
      <w:bodyDiv w:val="1"/>
      <w:marLeft w:val="0"/>
      <w:marRight w:val="0"/>
      <w:marTop w:val="0"/>
      <w:marBottom w:val="0"/>
      <w:divBdr>
        <w:top w:val="none" w:sz="0" w:space="0" w:color="auto"/>
        <w:left w:val="none" w:sz="0" w:space="0" w:color="auto"/>
        <w:bottom w:val="none" w:sz="0" w:space="0" w:color="auto"/>
        <w:right w:val="none" w:sz="0" w:space="0" w:color="auto"/>
      </w:divBdr>
    </w:div>
    <w:div w:id="293871943">
      <w:bodyDiv w:val="1"/>
      <w:marLeft w:val="0"/>
      <w:marRight w:val="0"/>
      <w:marTop w:val="0"/>
      <w:marBottom w:val="0"/>
      <w:divBdr>
        <w:top w:val="none" w:sz="0" w:space="0" w:color="auto"/>
        <w:left w:val="none" w:sz="0" w:space="0" w:color="auto"/>
        <w:bottom w:val="none" w:sz="0" w:space="0" w:color="auto"/>
        <w:right w:val="none" w:sz="0" w:space="0" w:color="auto"/>
      </w:divBdr>
    </w:div>
    <w:div w:id="354117992">
      <w:bodyDiv w:val="1"/>
      <w:marLeft w:val="0"/>
      <w:marRight w:val="0"/>
      <w:marTop w:val="0"/>
      <w:marBottom w:val="0"/>
      <w:divBdr>
        <w:top w:val="none" w:sz="0" w:space="0" w:color="auto"/>
        <w:left w:val="none" w:sz="0" w:space="0" w:color="auto"/>
        <w:bottom w:val="none" w:sz="0" w:space="0" w:color="auto"/>
        <w:right w:val="none" w:sz="0" w:space="0" w:color="auto"/>
      </w:divBdr>
    </w:div>
    <w:div w:id="455762752">
      <w:bodyDiv w:val="1"/>
      <w:marLeft w:val="0"/>
      <w:marRight w:val="0"/>
      <w:marTop w:val="0"/>
      <w:marBottom w:val="0"/>
      <w:divBdr>
        <w:top w:val="none" w:sz="0" w:space="0" w:color="auto"/>
        <w:left w:val="none" w:sz="0" w:space="0" w:color="auto"/>
        <w:bottom w:val="none" w:sz="0" w:space="0" w:color="auto"/>
        <w:right w:val="none" w:sz="0" w:space="0" w:color="auto"/>
      </w:divBdr>
    </w:div>
    <w:div w:id="558709894">
      <w:bodyDiv w:val="1"/>
      <w:marLeft w:val="0"/>
      <w:marRight w:val="0"/>
      <w:marTop w:val="0"/>
      <w:marBottom w:val="0"/>
      <w:divBdr>
        <w:top w:val="none" w:sz="0" w:space="0" w:color="auto"/>
        <w:left w:val="none" w:sz="0" w:space="0" w:color="auto"/>
        <w:bottom w:val="none" w:sz="0" w:space="0" w:color="auto"/>
        <w:right w:val="none" w:sz="0" w:space="0" w:color="auto"/>
      </w:divBdr>
    </w:div>
    <w:div w:id="656033618">
      <w:bodyDiv w:val="1"/>
      <w:marLeft w:val="0"/>
      <w:marRight w:val="0"/>
      <w:marTop w:val="0"/>
      <w:marBottom w:val="0"/>
      <w:divBdr>
        <w:top w:val="none" w:sz="0" w:space="0" w:color="auto"/>
        <w:left w:val="none" w:sz="0" w:space="0" w:color="auto"/>
        <w:bottom w:val="none" w:sz="0" w:space="0" w:color="auto"/>
        <w:right w:val="none" w:sz="0" w:space="0" w:color="auto"/>
      </w:divBdr>
    </w:div>
    <w:div w:id="657806706">
      <w:bodyDiv w:val="1"/>
      <w:marLeft w:val="0"/>
      <w:marRight w:val="0"/>
      <w:marTop w:val="0"/>
      <w:marBottom w:val="0"/>
      <w:divBdr>
        <w:top w:val="none" w:sz="0" w:space="0" w:color="auto"/>
        <w:left w:val="none" w:sz="0" w:space="0" w:color="auto"/>
        <w:bottom w:val="none" w:sz="0" w:space="0" w:color="auto"/>
        <w:right w:val="none" w:sz="0" w:space="0" w:color="auto"/>
      </w:divBdr>
    </w:div>
    <w:div w:id="731196781">
      <w:bodyDiv w:val="1"/>
      <w:marLeft w:val="0"/>
      <w:marRight w:val="0"/>
      <w:marTop w:val="0"/>
      <w:marBottom w:val="0"/>
      <w:divBdr>
        <w:top w:val="none" w:sz="0" w:space="0" w:color="auto"/>
        <w:left w:val="none" w:sz="0" w:space="0" w:color="auto"/>
        <w:bottom w:val="none" w:sz="0" w:space="0" w:color="auto"/>
        <w:right w:val="none" w:sz="0" w:space="0" w:color="auto"/>
      </w:divBdr>
    </w:div>
    <w:div w:id="806237915">
      <w:bodyDiv w:val="1"/>
      <w:marLeft w:val="0"/>
      <w:marRight w:val="0"/>
      <w:marTop w:val="0"/>
      <w:marBottom w:val="0"/>
      <w:divBdr>
        <w:top w:val="none" w:sz="0" w:space="0" w:color="auto"/>
        <w:left w:val="none" w:sz="0" w:space="0" w:color="auto"/>
        <w:bottom w:val="none" w:sz="0" w:space="0" w:color="auto"/>
        <w:right w:val="none" w:sz="0" w:space="0" w:color="auto"/>
      </w:divBdr>
    </w:div>
    <w:div w:id="943154065">
      <w:bodyDiv w:val="1"/>
      <w:marLeft w:val="0"/>
      <w:marRight w:val="0"/>
      <w:marTop w:val="0"/>
      <w:marBottom w:val="0"/>
      <w:divBdr>
        <w:top w:val="none" w:sz="0" w:space="0" w:color="auto"/>
        <w:left w:val="none" w:sz="0" w:space="0" w:color="auto"/>
        <w:bottom w:val="none" w:sz="0" w:space="0" w:color="auto"/>
        <w:right w:val="none" w:sz="0" w:space="0" w:color="auto"/>
      </w:divBdr>
    </w:div>
    <w:div w:id="1050882583">
      <w:bodyDiv w:val="1"/>
      <w:marLeft w:val="0"/>
      <w:marRight w:val="0"/>
      <w:marTop w:val="0"/>
      <w:marBottom w:val="0"/>
      <w:divBdr>
        <w:top w:val="none" w:sz="0" w:space="0" w:color="auto"/>
        <w:left w:val="none" w:sz="0" w:space="0" w:color="auto"/>
        <w:bottom w:val="none" w:sz="0" w:space="0" w:color="auto"/>
        <w:right w:val="none" w:sz="0" w:space="0" w:color="auto"/>
      </w:divBdr>
    </w:div>
    <w:div w:id="1059406403">
      <w:bodyDiv w:val="1"/>
      <w:marLeft w:val="0"/>
      <w:marRight w:val="0"/>
      <w:marTop w:val="0"/>
      <w:marBottom w:val="0"/>
      <w:divBdr>
        <w:top w:val="none" w:sz="0" w:space="0" w:color="auto"/>
        <w:left w:val="none" w:sz="0" w:space="0" w:color="auto"/>
        <w:bottom w:val="none" w:sz="0" w:space="0" w:color="auto"/>
        <w:right w:val="none" w:sz="0" w:space="0" w:color="auto"/>
      </w:divBdr>
    </w:div>
    <w:div w:id="1084956908">
      <w:bodyDiv w:val="1"/>
      <w:marLeft w:val="0"/>
      <w:marRight w:val="0"/>
      <w:marTop w:val="0"/>
      <w:marBottom w:val="0"/>
      <w:divBdr>
        <w:top w:val="none" w:sz="0" w:space="0" w:color="auto"/>
        <w:left w:val="none" w:sz="0" w:space="0" w:color="auto"/>
        <w:bottom w:val="none" w:sz="0" w:space="0" w:color="auto"/>
        <w:right w:val="none" w:sz="0" w:space="0" w:color="auto"/>
      </w:divBdr>
    </w:div>
    <w:div w:id="1108937986">
      <w:bodyDiv w:val="1"/>
      <w:marLeft w:val="0"/>
      <w:marRight w:val="0"/>
      <w:marTop w:val="0"/>
      <w:marBottom w:val="0"/>
      <w:divBdr>
        <w:top w:val="none" w:sz="0" w:space="0" w:color="auto"/>
        <w:left w:val="none" w:sz="0" w:space="0" w:color="auto"/>
        <w:bottom w:val="none" w:sz="0" w:space="0" w:color="auto"/>
        <w:right w:val="none" w:sz="0" w:space="0" w:color="auto"/>
      </w:divBdr>
      <w:divsChild>
        <w:div w:id="377630822">
          <w:marLeft w:val="0"/>
          <w:marRight w:val="0"/>
          <w:marTop w:val="0"/>
          <w:marBottom w:val="0"/>
          <w:divBdr>
            <w:top w:val="none" w:sz="0" w:space="0" w:color="auto"/>
            <w:left w:val="none" w:sz="0" w:space="0" w:color="auto"/>
            <w:bottom w:val="none" w:sz="0" w:space="0" w:color="auto"/>
            <w:right w:val="none" w:sz="0" w:space="0" w:color="auto"/>
          </w:divBdr>
        </w:div>
      </w:divsChild>
    </w:div>
    <w:div w:id="1122260452">
      <w:bodyDiv w:val="1"/>
      <w:marLeft w:val="0"/>
      <w:marRight w:val="0"/>
      <w:marTop w:val="0"/>
      <w:marBottom w:val="0"/>
      <w:divBdr>
        <w:top w:val="none" w:sz="0" w:space="0" w:color="auto"/>
        <w:left w:val="none" w:sz="0" w:space="0" w:color="auto"/>
        <w:bottom w:val="none" w:sz="0" w:space="0" w:color="auto"/>
        <w:right w:val="none" w:sz="0" w:space="0" w:color="auto"/>
      </w:divBdr>
    </w:div>
    <w:div w:id="1137722118">
      <w:bodyDiv w:val="1"/>
      <w:marLeft w:val="0"/>
      <w:marRight w:val="0"/>
      <w:marTop w:val="0"/>
      <w:marBottom w:val="0"/>
      <w:divBdr>
        <w:top w:val="none" w:sz="0" w:space="0" w:color="auto"/>
        <w:left w:val="none" w:sz="0" w:space="0" w:color="auto"/>
        <w:bottom w:val="none" w:sz="0" w:space="0" w:color="auto"/>
        <w:right w:val="none" w:sz="0" w:space="0" w:color="auto"/>
      </w:divBdr>
    </w:div>
    <w:div w:id="1142045279">
      <w:bodyDiv w:val="1"/>
      <w:marLeft w:val="0"/>
      <w:marRight w:val="0"/>
      <w:marTop w:val="0"/>
      <w:marBottom w:val="0"/>
      <w:divBdr>
        <w:top w:val="none" w:sz="0" w:space="0" w:color="auto"/>
        <w:left w:val="none" w:sz="0" w:space="0" w:color="auto"/>
        <w:bottom w:val="none" w:sz="0" w:space="0" w:color="auto"/>
        <w:right w:val="none" w:sz="0" w:space="0" w:color="auto"/>
      </w:divBdr>
    </w:div>
    <w:div w:id="1160192507">
      <w:bodyDiv w:val="1"/>
      <w:marLeft w:val="0"/>
      <w:marRight w:val="0"/>
      <w:marTop w:val="0"/>
      <w:marBottom w:val="0"/>
      <w:divBdr>
        <w:top w:val="none" w:sz="0" w:space="0" w:color="auto"/>
        <w:left w:val="none" w:sz="0" w:space="0" w:color="auto"/>
        <w:bottom w:val="none" w:sz="0" w:space="0" w:color="auto"/>
        <w:right w:val="none" w:sz="0" w:space="0" w:color="auto"/>
      </w:divBdr>
    </w:div>
    <w:div w:id="1253704664">
      <w:bodyDiv w:val="1"/>
      <w:marLeft w:val="0"/>
      <w:marRight w:val="0"/>
      <w:marTop w:val="0"/>
      <w:marBottom w:val="0"/>
      <w:divBdr>
        <w:top w:val="none" w:sz="0" w:space="0" w:color="auto"/>
        <w:left w:val="none" w:sz="0" w:space="0" w:color="auto"/>
        <w:bottom w:val="none" w:sz="0" w:space="0" w:color="auto"/>
        <w:right w:val="none" w:sz="0" w:space="0" w:color="auto"/>
      </w:divBdr>
    </w:div>
    <w:div w:id="1411660029">
      <w:bodyDiv w:val="1"/>
      <w:marLeft w:val="0"/>
      <w:marRight w:val="0"/>
      <w:marTop w:val="0"/>
      <w:marBottom w:val="0"/>
      <w:divBdr>
        <w:top w:val="none" w:sz="0" w:space="0" w:color="auto"/>
        <w:left w:val="none" w:sz="0" w:space="0" w:color="auto"/>
        <w:bottom w:val="none" w:sz="0" w:space="0" w:color="auto"/>
        <w:right w:val="none" w:sz="0" w:space="0" w:color="auto"/>
      </w:divBdr>
    </w:div>
    <w:div w:id="1512642279">
      <w:bodyDiv w:val="1"/>
      <w:marLeft w:val="0"/>
      <w:marRight w:val="0"/>
      <w:marTop w:val="0"/>
      <w:marBottom w:val="0"/>
      <w:divBdr>
        <w:top w:val="none" w:sz="0" w:space="0" w:color="auto"/>
        <w:left w:val="none" w:sz="0" w:space="0" w:color="auto"/>
        <w:bottom w:val="none" w:sz="0" w:space="0" w:color="auto"/>
        <w:right w:val="none" w:sz="0" w:space="0" w:color="auto"/>
      </w:divBdr>
    </w:div>
    <w:div w:id="1516730253">
      <w:bodyDiv w:val="1"/>
      <w:marLeft w:val="0"/>
      <w:marRight w:val="0"/>
      <w:marTop w:val="0"/>
      <w:marBottom w:val="0"/>
      <w:divBdr>
        <w:top w:val="none" w:sz="0" w:space="0" w:color="auto"/>
        <w:left w:val="none" w:sz="0" w:space="0" w:color="auto"/>
        <w:bottom w:val="none" w:sz="0" w:space="0" w:color="auto"/>
        <w:right w:val="none" w:sz="0" w:space="0" w:color="auto"/>
      </w:divBdr>
    </w:div>
    <w:div w:id="1523320136">
      <w:bodyDiv w:val="1"/>
      <w:marLeft w:val="0"/>
      <w:marRight w:val="0"/>
      <w:marTop w:val="0"/>
      <w:marBottom w:val="0"/>
      <w:divBdr>
        <w:top w:val="none" w:sz="0" w:space="0" w:color="auto"/>
        <w:left w:val="none" w:sz="0" w:space="0" w:color="auto"/>
        <w:bottom w:val="none" w:sz="0" w:space="0" w:color="auto"/>
        <w:right w:val="none" w:sz="0" w:space="0" w:color="auto"/>
      </w:divBdr>
    </w:div>
    <w:div w:id="1564370721">
      <w:bodyDiv w:val="1"/>
      <w:marLeft w:val="0"/>
      <w:marRight w:val="0"/>
      <w:marTop w:val="0"/>
      <w:marBottom w:val="0"/>
      <w:divBdr>
        <w:top w:val="none" w:sz="0" w:space="0" w:color="auto"/>
        <w:left w:val="none" w:sz="0" w:space="0" w:color="auto"/>
        <w:bottom w:val="none" w:sz="0" w:space="0" w:color="auto"/>
        <w:right w:val="none" w:sz="0" w:space="0" w:color="auto"/>
      </w:divBdr>
    </w:div>
    <w:div w:id="1645618561">
      <w:bodyDiv w:val="1"/>
      <w:marLeft w:val="0"/>
      <w:marRight w:val="0"/>
      <w:marTop w:val="0"/>
      <w:marBottom w:val="0"/>
      <w:divBdr>
        <w:top w:val="none" w:sz="0" w:space="0" w:color="auto"/>
        <w:left w:val="none" w:sz="0" w:space="0" w:color="auto"/>
        <w:bottom w:val="none" w:sz="0" w:space="0" w:color="auto"/>
        <w:right w:val="none" w:sz="0" w:space="0" w:color="auto"/>
      </w:divBdr>
    </w:div>
    <w:div w:id="1795978795">
      <w:bodyDiv w:val="1"/>
      <w:marLeft w:val="0"/>
      <w:marRight w:val="0"/>
      <w:marTop w:val="0"/>
      <w:marBottom w:val="0"/>
      <w:divBdr>
        <w:top w:val="none" w:sz="0" w:space="0" w:color="auto"/>
        <w:left w:val="none" w:sz="0" w:space="0" w:color="auto"/>
        <w:bottom w:val="none" w:sz="0" w:space="0" w:color="auto"/>
        <w:right w:val="none" w:sz="0" w:space="0" w:color="auto"/>
      </w:divBdr>
    </w:div>
    <w:div w:id="1796019195">
      <w:bodyDiv w:val="1"/>
      <w:marLeft w:val="0"/>
      <w:marRight w:val="0"/>
      <w:marTop w:val="0"/>
      <w:marBottom w:val="0"/>
      <w:divBdr>
        <w:top w:val="none" w:sz="0" w:space="0" w:color="auto"/>
        <w:left w:val="none" w:sz="0" w:space="0" w:color="auto"/>
        <w:bottom w:val="none" w:sz="0" w:space="0" w:color="auto"/>
        <w:right w:val="none" w:sz="0" w:space="0" w:color="auto"/>
      </w:divBdr>
    </w:div>
    <w:div w:id="1816490148">
      <w:bodyDiv w:val="1"/>
      <w:marLeft w:val="0"/>
      <w:marRight w:val="0"/>
      <w:marTop w:val="0"/>
      <w:marBottom w:val="0"/>
      <w:divBdr>
        <w:top w:val="none" w:sz="0" w:space="0" w:color="auto"/>
        <w:left w:val="none" w:sz="0" w:space="0" w:color="auto"/>
        <w:bottom w:val="none" w:sz="0" w:space="0" w:color="auto"/>
        <w:right w:val="none" w:sz="0" w:space="0" w:color="auto"/>
      </w:divBdr>
    </w:div>
    <w:div w:id="1858304259">
      <w:bodyDiv w:val="1"/>
      <w:marLeft w:val="0"/>
      <w:marRight w:val="0"/>
      <w:marTop w:val="0"/>
      <w:marBottom w:val="0"/>
      <w:divBdr>
        <w:top w:val="none" w:sz="0" w:space="0" w:color="auto"/>
        <w:left w:val="none" w:sz="0" w:space="0" w:color="auto"/>
        <w:bottom w:val="none" w:sz="0" w:space="0" w:color="auto"/>
        <w:right w:val="none" w:sz="0" w:space="0" w:color="auto"/>
      </w:divBdr>
    </w:div>
    <w:div w:id="1971939276">
      <w:bodyDiv w:val="1"/>
      <w:marLeft w:val="0"/>
      <w:marRight w:val="0"/>
      <w:marTop w:val="0"/>
      <w:marBottom w:val="0"/>
      <w:divBdr>
        <w:top w:val="none" w:sz="0" w:space="0" w:color="auto"/>
        <w:left w:val="none" w:sz="0" w:space="0" w:color="auto"/>
        <w:bottom w:val="none" w:sz="0" w:space="0" w:color="auto"/>
        <w:right w:val="none" w:sz="0" w:space="0" w:color="auto"/>
      </w:divBdr>
    </w:div>
    <w:div w:id="2010324758">
      <w:bodyDiv w:val="1"/>
      <w:marLeft w:val="0"/>
      <w:marRight w:val="0"/>
      <w:marTop w:val="0"/>
      <w:marBottom w:val="0"/>
      <w:divBdr>
        <w:top w:val="none" w:sz="0" w:space="0" w:color="auto"/>
        <w:left w:val="none" w:sz="0" w:space="0" w:color="auto"/>
        <w:bottom w:val="none" w:sz="0" w:space="0" w:color="auto"/>
        <w:right w:val="none" w:sz="0" w:space="0" w:color="auto"/>
      </w:divBdr>
    </w:div>
    <w:div w:id="204258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us-west-2.amazonaws.com/uw-s3-cdn/wp-content/uploads/sites/162/2019/01/08103557/Book-Review_College-Costs-2-22-2011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collegeboard.org/media/pdf/Trends-in-College-Pricing-and-Student-Aid-2025-final_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www.washington.edu/opb/uw-data/fast-fa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uwnetid.sharepoint.com/sites/office_of_planning_and_budgeting/Shared%20Documents/USERS/Lauren%20Hatchett/Briefs/Net%20Price%20Brief/2025-26%20update/trends-college-pricing-excel-data-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uwnetid.sharepoint.com/sites/office_of_planning_and_budgeting/Shared%20Documents/COMMON/Presentations/2025%20Presentations/Rubicon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r>
              <a:rPr lang="en-US" sz="1100" b="1"/>
              <a:t>Figure 1: National Increases in Published and Net TFHF at Public Four-Year Institutions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autoTitleDeleted val="0"/>
    <c:plotArea>
      <c:layout/>
      <c:lineChart>
        <c:grouping val="standard"/>
        <c:varyColors val="0"/>
        <c:ser>
          <c:idx val="0"/>
          <c:order val="0"/>
          <c:tx>
            <c:strRef>
              <c:f>'FigCP-9'!$C$2</c:f>
              <c:strCache>
                <c:ptCount val="1"/>
                <c:pt idx="0">
                  <c:v>Published Tuition and Fees and Housing and Food (TFHF)</c:v>
                </c:pt>
              </c:strCache>
            </c:strRef>
          </c:tx>
          <c:spPr>
            <a:ln w="50800" cap="rnd">
              <a:solidFill>
                <a:srgbClr val="FFC000"/>
              </a:solidFill>
              <a:round/>
            </a:ln>
            <a:effectLst/>
          </c:spPr>
          <c:marker>
            <c:symbol val="none"/>
          </c:marker>
          <c:dLbls>
            <c:dLbl>
              <c:idx val="0"/>
              <c:layout>
                <c:manualLayout>
                  <c:x val="-1.9413190797619502E-2"/>
                  <c:y val="-8.1012662027669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67-47A8-B49A-886C83380EDD}"/>
                </c:ext>
              </c:extLst>
            </c:dLbl>
            <c:dLbl>
              <c:idx val="19"/>
              <c:layout>
                <c:manualLayout>
                  <c:x val="-9.0622886060631614E-3"/>
                  <c:y val="-0.12370274744636965"/>
                </c:manualLayout>
              </c:layout>
              <c:tx>
                <c:rich>
                  <a:bodyPr rot="0" spcFirstLastPara="1" vertOverflow="overflow" horzOverflow="overflow"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Open Sans" panose="020B0606030504020204" pitchFamily="34" charset="0"/>
                        <a:ea typeface="Open Sans" panose="020B0606030504020204" pitchFamily="34" charset="0"/>
                        <a:cs typeface="Open Sans" panose="020B0606030504020204" pitchFamily="34" charset="0"/>
                      </a:defRPr>
                    </a:pPr>
                    <a:fld id="{96BD454D-C8B8-44A2-9724-3246A766E25E}" type="VALUE">
                      <a:rPr lang="en-US"/>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75000"/>
                              <a:lumOff val="25000"/>
                            </a:sysClr>
                          </a:solidFill>
                        </a:defRPr>
                      </a:pPr>
                      <a:t>[VALUE]</a:t>
                    </a:fld>
                    <a:r>
                      <a:rPr lang="en-US"/>
                      <a:t> </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75000"/>
                            <a:lumOff val="25000"/>
                          </a:sysClr>
                        </a:solidFill>
                      </a:defRPr>
                    </a:pPr>
                    <a:r>
                      <a:rPr lang="en-US" b="0" i="1"/>
                      <a:t>26% Increase</a:t>
                    </a:r>
                    <a:r>
                      <a:rPr lang="en-US" b="0" i="1" baseline="0"/>
                      <a:t> from 2006-07</a:t>
                    </a:r>
                  </a:p>
                </c:rich>
              </c:tx>
              <c:numFmt formatCode="&quot;$&quot;#,##0" sourceLinked="0"/>
              <c:spPr>
                <a:noFill/>
                <a:ln>
                  <a:noFill/>
                </a:ln>
                <a:effectLst/>
              </c:spPr>
              <c:txPr>
                <a:bodyPr rot="0" spcFirstLastPara="1" vertOverflow="overflow" horzOverflow="overflow"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967-47A8-B49A-886C83380EDD}"/>
                </c:ext>
              </c:extLst>
            </c:dLbl>
            <c:numFmt formatCode="&quot;$&quot;#,##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'FigCP-9'!$A$3:$A$22</c:f>
              <c:strCache>
                <c:ptCount val="20"/>
                <c:pt idx="0">
                  <c:v>06-07</c:v>
                </c:pt>
                <c:pt idx="1">
                  <c:v>07-08</c:v>
                </c:pt>
                <c:pt idx="2">
                  <c:v>08-09</c:v>
                </c:pt>
                <c:pt idx="3">
                  <c:v>09-10</c:v>
                </c:pt>
                <c:pt idx="4">
                  <c:v>10-11</c:v>
                </c:pt>
                <c:pt idx="5">
                  <c:v>11-12</c:v>
                </c:pt>
                <c:pt idx="6">
                  <c:v>12-13</c:v>
                </c:pt>
                <c:pt idx="7">
                  <c:v>13-14</c:v>
                </c:pt>
                <c:pt idx="8">
                  <c:v>14-15</c:v>
                </c:pt>
                <c:pt idx="9">
                  <c:v>15-16</c:v>
                </c:pt>
                <c:pt idx="10">
                  <c:v>16-17</c:v>
                </c:pt>
                <c:pt idx="11">
                  <c:v>17-18</c:v>
                </c:pt>
                <c:pt idx="12">
                  <c:v>18-19</c:v>
                </c:pt>
                <c:pt idx="13">
                  <c:v>19-20</c:v>
                </c:pt>
                <c:pt idx="14">
                  <c:v>20-21</c:v>
                </c:pt>
                <c:pt idx="15">
                  <c:v>21-22</c:v>
                </c:pt>
                <c:pt idx="16">
                  <c:v>22-23</c:v>
                </c:pt>
                <c:pt idx="17">
                  <c:v>23-24</c:v>
                </c:pt>
                <c:pt idx="18">
                  <c:v>24-25</c:v>
                </c:pt>
                <c:pt idx="19">
                  <c:v>25-26</c:v>
                </c:pt>
              </c:strCache>
            </c:strRef>
          </c:cat>
          <c:val>
            <c:numRef>
              <c:f>'FigCP-9'!$C$3:$C$22</c:f>
              <c:numCache>
                <c:formatCode>"$"#,##0</c:formatCode>
                <c:ptCount val="20"/>
                <c:pt idx="0">
                  <c:v>20510</c:v>
                </c:pt>
                <c:pt idx="1">
                  <c:v>21060</c:v>
                </c:pt>
                <c:pt idx="2">
                  <c:v>21490</c:v>
                </c:pt>
                <c:pt idx="3">
                  <c:v>22870</c:v>
                </c:pt>
                <c:pt idx="4">
                  <c:v>23890</c:v>
                </c:pt>
                <c:pt idx="5">
                  <c:v>24560</c:v>
                </c:pt>
                <c:pt idx="6">
                  <c:v>24990</c:v>
                </c:pt>
                <c:pt idx="7">
                  <c:v>25400</c:v>
                </c:pt>
                <c:pt idx="8">
                  <c:v>25750</c:v>
                </c:pt>
                <c:pt idx="9">
                  <c:v>26590</c:v>
                </c:pt>
                <c:pt idx="10">
                  <c:v>27030</c:v>
                </c:pt>
                <c:pt idx="11">
                  <c:v>27310</c:v>
                </c:pt>
                <c:pt idx="12">
                  <c:v>27440</c:v>
                </c:pt>
                <c:pt idx="13">
                  <c:v>27640</c:v>
                </c:pt>
                <c:pt idx="14">
                  <c:v>27730</c:v>
                </c:pt>
                <c:pt idx="15">
                  <c:v>26970</c:v>
                </c:pt>
                <c:pt idx="16">
                  <c:v>25640</c:v>
                </c:pt>
                <c:pt idx="17">
                  <c:v>25450</c:v>
                </c:pt>
                <c:pt idx="18">
                  <c:v>25580</c:v>
                </c:pt>
                <c:pt idx="19">
                  <c:v>25850</c:v>
                </c:pt>
              </c:numCache>
            </c:numRef>
          </c:val>
          <c:smooth val="0"/>
          <c:extLst>
            <c:ext xmlns:c16="http://schemas.microsoft.com/office/drawing/2014/chart" uri="{C3380CC4-5D6E-409C-BE32-E72D297353CC}">
              <c16:uniqueId val="{00000002-5967-47A8-B49A-886C83380EDD}"/>
            </c:ext>
          </c:extLst>
        </c:ser>
        <c:ser>
          <c:idx val="1"/>
          <c:order val="1"/>
          <c:tx>
            <c:strRef>
              <c:f>'FigCP-9'!$G$2</c:f>
              <c:strCache>
                <c:ptCount val="1"/>
                <c:pt idx="0">
                  <c:v>Net TFHF</c:v>
                </c:pt>
              </c:strCache>
            </c:strRef>
          </c:tx>
          <c:spPr>
            <a:ln w="50800" cap="rnd">
              <a:solidFill>
                <a:schemeClr val="accent4">
                  <a:lumMod val="75000"/>
                </a:schemeClr>
              </a:solidFill>
              <a:round/>
            </a:ln>
            <a:effectLst/>
          </c:spPr>
          <c:marker>
            <c:symbol val="none"/>
          </c:marker>
          <c:dLbls>
            <c:dLbl>
              <c:idx val="0"/>
              <c:layout>
                <c:manualLayout>
                  <c:x val="-5.294559324500122E-3"/>
                  <c:y val="6.710805302564106E-2"/>
                </c:manualLayout>
              </c:layout>
              <c:tx>
                <c:rich>
                  <a:bodyPr/>
                  <a:lstStyle/>
                  <a:p>
                    <a:fld id="{878E5477-6BA8-4FE7-AC6B-2993CC75C4D2}"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967-47A8-B49A-886C83380EDD}"/>
                </c:ext>
              </c:extLst>
            </c:dLbl>
            <c:dLbl>
              <c:idx val="19"/>
              <c:layout>
                <c:manualLayout>
                  <c:x val="-9.0622886060631614E-3"/>
                  <c:y val="7.5105239521010156E-2"/>
                </c:manualLayout>
              </c:layout>
              <c:tx>
                <c:rich>
                  <a:bodyPr rot="0" spcFirstLastPara="1" vertOverflow="ellipsis" vert="horz" wrap="square" anchor="ctr"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75000"/>
                            <a:lumOff val="25000"/>
                          </a:sysClr>
                        </a:solidFill>
                        <a:latin typeface="Open Sans" panose="020B0606030504020204" pitchFamily="34" charset="0"/>
                        <a:ea typeface="Open Sans" panose="020B0606030504020204" pitchFamily="34" charset="0"/>
                        <a:cs typeface="Open Sans" panose="020B0606030504020204" pitchFamily="34" charset="0"/>
                      </a:defRPr>
                    </a:pPr>
                    <a:fld id="{D7DABC36-9781-4D6F-A170-47446CB5A6F3}" type="VALUE">
                      <a:rPr lang="en-US" b="1"/>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[VALUE]</a:t>
                    </a:fld>
                    <a:endParaRPr lang="en-US" b="1"/>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r>
                      <a:rPr lang="en-US" i="1"/>
                      <a:t>6% Increase</a:t>
                    </a:r>
                    <a:r>
                      <a:rPr lang="en-US" i="1" baseline="0"/>
                      <a:t> from 2006-07</a:t>
                    </a:r>
                    <a:r>
                      <a:rPr lang="en-US" i="1"/>
                      <a:t> </a:t>
                    </a:r>
                  </a:p>
                </c:rich>
              </c:tx>
              <c:spPr>
                <a:noFill/>
                <a:ln>
                  <a:noFill/>
                </a:ln>
                <a:effectLst/>
              </c:spPr>
              <c:txPr>
                <a:bodyPr rot="0" spcFirstLastPara="1" vertOverflow="ellipsis" vert="horz" wrap="square" anchor="ctr" anchorCtr="0"/>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lumMod val="75000"/>
                          <a:lumOff val="25000"/>
                        </a:sys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967-47A8-B49A-886C83380EDD}"/>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'FigCP-9'!$A$3:$A$22</c:f>
              <c:strCache>
                <c:ptCount val="20"/>
                <c:pt idx="0">
                  <c:v>06-07</c:v>
                </c:pt>
                <c:pt idx="1">
                  <c:v>07-08</c:v>
                </c:pt>
                <c:pt idx="2">
                  <c:v>08-09</c:v>
                </c:pt>
                <c:pt idx="3">
                  <c:v>09-10</c:v>
                </c:pt>
                <c:pt idx="4">
                  <c:v>10-11</c:v>
                </c:pt>
                <c:pt idx="5">
                  <c:v>11-12</c:v>
                </c:pt>
                <c:pt idx="6">
                  <c:v>12-13</c:v>
                </c:pt>
                <c:pt idx="7">
                  <c:v>13-14</c:v>
                </c:pt>
                <c:pt idx="8">
                  <c:v>14-15</c:v>
                </c:pt>
                <c:pt idx="9">
                  <c:v>15-16</c:v>
                </c:pt>
                <c:pt idx="10">
                  <c:v>16-17</c:v>
                </c:pt>
                <c:pt idx="11">
                  <c:v>17-18</c:v>
                </c:pt>
                <c:pt idx="12">
                  <c:v>18-19</c:v>
                </c:pt>
                <c:pt idx="13">
                  <c:v>19-20</c:v>
                </c:pt>
                <c:pt idx="14">
                  <c:v>20-21</c:v>
                </c:pt>
                <c:pt idx="15">
                  <c:v>21-22</c:v>
                </c:pt>
                <c:pt idx="16">
                  <c:v>22-23</c:v>
                </c:pt>
                <c:pt idx="17">
                  <c:v>23-24</c:v>
                </c:pt>
                <c:pt idx="18">
                  <c:v>24-25</c:v>
                </c:pt>
                <c:pt idx="19">
                  <c:v>25-26</c:v>
                </c:pt>
              </c:strCache>
            </c:strRef>
          </c:cat>
          <c:val>
            <c:numRef>
              <c:f>'FigCP-9'!$G$3:$G$22</c:f>
              <c:numCache>
                <c:formatCode>"$"#,##0</c:formatCode>
                <c:ptCount val="20"/>
                <c:pt idx="0">
                  <c:v>15280</c:v>
                </c:pt>
                <c:pt idx="1">
                  <c:v>15390</c:v>
                </c:pt>
                <c:pt idx="2">
                  <c:v>15460</c:v>
                </c:pt>
                <c:pt idx="3">
                  <c:v>15780</c:v>
                </c:pt>
                <c:pt idx="4">
                  <c:v>16220</c:v>
                </c:pt>
                <c:pt idx="5">
                  <c:v>17060</c:v>
                </c:pt>
                <c:pt idx="6">
                  <c:v>17310</c:v>
                </c:pt>
                <c:pt idx="7">
                  <c:v>17440</c:v>
                </c:pt>
                <c:pt idx="8">
                  <c:v>17550</c:v>
                </c:pt>
                <c:pt idx="9">
                  <c:v>18180</c:v>
                </c:pt>
                <c:pt idx="10">
                  <c:v>18450</c:v>
                </c:pt>
                <c:pt idx="11">
                  <c:v>18270</c:v>
                </c:pt>
                <c:pt idx="12">
                  <c:v>18290</c:v>
                </c:pt>
                <c:pt idx="13">
                  <c:v>17930</c:v>
                </c:pt>
                <c:pt idx="14">
                  <c:v>17870</c:v>
                </c:pt>
                <c:pt idx="15">
                  <c:v>16730</c:v>
                </c:pt>
                <c:pt idx="16">
                  <c:v>16280</c:v>
                </c:pt>
                <c:pt idx="17">
                  <c:v>15980</c:v>
                </c:pt>
                <c:pt idx="18">
                  <c:v>15930</c:v>
                </c:pt>
                <c:pt idx="19">
                  <c:v>16200</c:v>
                </c:pt>
              </c:numCache>
            </c:numRef>
          </c:val>
          <c:smooth val="0"/>
          <c:extLst>
            <c:ext xmlns:c16="http://schemas.microsoft.com/office/drawing/2014/chart" uri="{C3380CC4-5D6E-409C-BE32-E72D297353CC}">
              <c16:uniqueId val="{00000005-5967-47A8-B49A-886C83380EDD}"/>
            </c:ext>
          </c:extLst>
        </c:ser>
        <c:dLbls>
          <c:showLegendKey val="0"/>
          <c:showVal val="0"/>
          <c:showCatName val="0"/>
          <c:showSerName val="0"/>
          <c:showPercent val="0"/>
          <c:showBubbleSize val="0"/>
        </c:dLbls>
        <c:smooth val="0"/>
        <c:axId val="670353888"/>
        <c:axId val="670352448"/>
      </c:lineChart>
      <c:catAx>
        <c:axId val="67035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1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670352448"/>
        <c:crosses val="autoZero"/>
        <c:auto val="1"/>
        <c:lblAlgn val="ctr"/>
        <c:lblOffset val="100"/>
        <c:noMultiLvlLbl val="0"/>
      </c:catAx>
      <c:valAx>
        <c:axId val="670352448"/>
        <c:scaling>
          <c:orientation val="minMax"/>
          <c:max val="35000"/>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67035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Open Sans" panose="020B0606030504020204" pitchFamily="34" charset="0"/>
          <a:ea typeface="Open Sans" panose="020B0606030504020204" pitchFamily="34" charset="0"/>
          <a:cs typeface="Open Sans" panose="020B0606030504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Fig. 2 University of Washington State and Tuition Funding per Student FTE</a:t>
            </a:r>
          </a:p>
        </c:rich>
      </c:tx>
      <c:layout>
        <c:manualLayout>
          <c:xMode val="edge"/>
          <c:yMode val="edge"/>
          <c:x val="0.17307291895775598"/>
          <c:y val="1.9997216257058775E-2"/>
        </c:manualLayout>
      </c:layout>
      <c:overlay val="0"/>
    </c:title>
    <c:autoTitleDeleted val="0"/>
    <c:plotArea>
      <c:layout>
        <c:manualLayout>
          <c:layoutTarget val="inner"/>
          <c:xMode val="edge"/>
          <c:yMode val="edge"/>
          <c:x val="0.13264314726022375"/>
          <c:y val="0.12469614377735784"/>
          <c:w val="0.85411574949779323"/>
          <c:h val="0.76061763211154454"/>
        </c:manualLayout>
      </c:layout>
      <c:lineChart>
        <c:grouping val="standard"/>
        <c:varyColors val="0"/>
        <c:ser>
          <c:idx val="0"/>
          <c:order val="0"/>
          <c:tx>
            <c:strRef>
              <c:f>'Rubicon Master'!$A$19</c:f>
              <c:strCache>
                <c:ptCount val="1"/>
                <c:pt idx="0">
                  <c:v>Tuition Revenue per FTE</c:v>
                </c:pt>
              </c:strCache>
            </c:strRef>
          </c:tx>
          <c:spPr>
            <a:ln w="50800">
              <a:solidFill>
                <a:schemeClr val="accent4">
                  <a:lumMod val="75000"/>
                </a:schemeClr>
              </a:solidFill>
            </a:ln>
          </c:spPr>
          <c:marker>
            <c:symbol val="none"/>
          </c:marker>
          <c:dPt>
            <c:idx val="23"/>
            <c:bubble3D val="0"/>
            <c:spPr>
              <a:ln w="50800">
                <a:solidFill>
                  <a:schemeClr val="accent4">
                    <a:lumMod val="75000"/>
                  </a:schemeClr>
                </a:solidFill>
                <a:prstDash val="solid"/>
              </a:ln>
            </c:spPr>
            <c:extLst>
              <c:ext xmlns:c16="http://schemas.microsoft.com/office/drawing/2014/chart" uri="{C3380CC4-5D6E-409C-BE32-E72D297353CC}">
                <c16:uniqueId val="{00000001-D239-457C-A816-C248E9620864}"/>
              </c:ext>
            </c:extLst>
          </c:dPt>
          <c:dPt>
            <c:idx val="24"/>
            <c:bubble3D val="0"/>
            <c:spPr>
              <a:ln w="50800">
                <a:solidFill>
                  <a:schemeClr val="accent4">
                    <a:lumMod val="75000"/>
                  </a:schemeClr>
                </a:solidFill>
                <a:prstDash val="solid"/>
              </a:ln>
            </c:spPr>
            <c:extLst>
              <c:ext xmlns:c16="http://schemas.microsoft.com/office/drawing/2014/chart" uri="{C3380CC4-5D6E-409C-BE32-E72D297353CC}">
                <c16:uniqueId val="{00000003-D239-457C-A816-C248E9620864}"/>
              </c:ext>
            </c:extLst>
          </c:dPt>
          <c:dPt>
            <c:idx val="25"/>
            <c:bubble3D val="0"/>
            <c:spPr>
              <a:ln w="50800">
                <a:solidFill>
                  <a:schemeClr val="accent4">
                    <a:lumMod val="75000"/>
                  </a:schemeClr>
                </a:solidFill>
                <a:prstDash val="solid"/>
              </a:ln>
            </c:spPr>
            <c:extLst>
              <c:ext xmlns:c16="http://schemas.microsoft.com/office/drawing/2014/chart" uri="{C3380CC4-5D6E-409C-BE32-E72D297353CC}">
                <c16:uniqueId val="{00000005-D239-457C-A816-C248E9620864}"/>
              </c:ext>
            </c:extLst>
          </c:dPt>
          <c:dPt>
            <c:idx val="26"/>
            <c:bubble3D val="0"/>
            <c:spPr>
              <a:ln w="50800">
                <a:solidFill>
                  <a:schemeClr val="accent4">
                    <a:lumMod val="75000"/>
                  </a:schemeClr>
                </a:solidFill>
                <a:prstDash val="solid"/>
              </a:ln>
            </c:spPr>
            <c:extLst>
              <c:ext xmlns:c16="http://schemas.microsoft.com/office/drawing/2014/chart" uri="{C3380CC4-5D6E-409C-BE32-E72D297353CC}">
                <c16:uniqueId val="{00000007-D239-457C-A816-C248E9620864}"/>
              </c:ext>
            </c:extLst>
          </c:dPt>
          <c:dPt>
            <c:idx val="27"/>
            <c:bubble3D val="0"/>
            <c:spPr>
              <a:ln w="50800">
                <a:solidFill>
                  <a:schemeClr val="accent4">
                    <a:lumMod val="75000"/>
                  </a:schemeClr>
                </a:solidFill>
                <a:prstDash val="solid"/>
              </a:ln>
            </c:spPr>
            <c:extLst>
              <c:ext xmlns:c16="http://schemas.microsoft.com/office/drawing/2014/chart" uri="{C3380CC4-5D6E-409C-BE32-E72D297353CC}">
                <c16:uniqueId val="{00000009-D239-457C-A816-C248E9620864}"/>
              </c:ext>
            </c:extLst>
          </c:dPt>
          <c:dPt>
            <c:idx val="28"/>
            <c:bubble3D val="0"/>
            <c:spPr>
              <a:ln w="50800">
                <a:solidFill>
                  <a:schemeClr val="accent4">
                    <a:lumMod val="75000"/>
                  </a:schemeClr>
                </a:solidFill>
                <a:prstDash val="solid"/>
              </a:ln>
            </c:spPr>
            <c:extLst>
              <c:ext xmlns:c16="http://schemas.microsoft.com/office/drawing/2014/chart" uri="{C3380CC4-5D6E-409C-BE32-E72D297353CC}">
                <c16:uniqueId val="{0000000B-D239-457C-A816-C248E9620864}"/>
              </c:ext>
            </c:extLst>
          </c:dPt>
          <c:cat>
            <c:strRef>
              <c:f>'Rubicon Master'!$C$14:$AL$14</c:f>
              <c:strCache>
                <c:ptCount val="36"/>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pt idx="31">
                  <c:v>2021-22</c:v>
                </c:pt>
                <c:pt idx="32">
                  <c:v>2022-23</c:v>
                </c:pt>
                <c:pt idx="33">
                  <c:v>2023-24</c:v>
                </c:pt>
                <c:pt idx="34">
                  <c:v>2024-25</c:v>
                </c:pt>
                <c:pt idx="35">
                  <c:v>2025-26</c:v>
                </c:pt>
              </c:strCache>
              <c:extLst/>
            </c:strRef>
          </c:cat>
          <c:val>
            <c:numRef>
              <c:f>'Rubicon Master'!$C$19:$AL$19</c:f>
              <c:numCache>
                <c:formatCode>"$"#,##0</c:formatCode>
                <c:ptCount val="36"/>
                <c:pt idx="0">
                  <c:v>4968.4120730006971</c:v>
                </c:pt>
                <c:pt idx="1">
                  <c:v>5293.1652225866992</c:v>
                </c:pt>
                <c:pt idx="2">
                  <c:v>5260.235660953379</c:v>
                </c:pt>
                <c:pt idx="3">
                  <c:v>5296.2803628203646</c:v>
                </c:pt>
                <c:pt idx="4">
                  <c:v>6867.4266127621549</c:v>
                </c:pt>
                <c:pt idx="5">
                  <c:v>6303.6560930540736</c:v>
                </c:pt>
                <c:pt idx="6">
                  <c:v>6331.8805599743891</c:v>
                </c:pt>
                <c:pt idx="7">
                  <c:v>6200.4347655773363</c:v>
                </c:pt>
                <c:pt idx="8">
                  <c:v>7704.4996521863713</c:v>
                </c:pt>
                <c:pt idx="9">
                  <c:v>7271.3827386537641</c:v>
                </c:pt>
                <c:pt idx="10">
                  <c:v>7154.8148640708823</c:v>
                </c:pt>
                <c:pt idx="11">
                  <c:v>7501.6611112513237</c:v>
                </c:pt>
                <c:pt idx="12">
                  <c:v>8433.9897285100124</c:v>
                </c:pt>
                <c:pt idx="13">
                  <c:v>8565.7824008597036</c:v>
                </c:pt>
                <c:pt idx="14">
                  <c:v>9772.3183207719303</c:v>
                </c:pt>
                <c:pt idx="15">
                  <c:v>9824.6928282047993</c:v>
                </c:pt>
                <c:pt idx="16">
                  <c:v>10978.082583865829</c:v>
                </c:pt>
                <c:pt idx="17">
                  <c:v>11804.153012421124</c:v>
                </c:pt>
                <c:pt idx="18">
                  <c:v>11647.426596974463</c:v>
                </c:pt>
                <c:pt idx="19">
                  <c:v>12604.98369903096</c:v>
                </c:pt>
                <c:pt idx="20">
                  <c:v>14024.770460769048</c:v>
                </c:pt>
                <c:pt idx="21">
                  <c:v>15964.259348580228</c:v>
                </c:pt>
                <c:pt idx="22">
                  <c:v>17242.775966064906</c:v>
                </c:pt>
                <c:pt idx="23">
                  <c:v>17672.362511150954</c:v>
                </c:pt>
                <c:pt idx="24">
                  <c:v>18057.223460013385</c:v>
                </c:pt>
                <c:pt idx="25">
                  <c:v>18190.070404780723</c:v>
                </c:pt>
                <c:pt idx="26">
                  <c:v>17197.742589498121</c:v>
                </c:pt>
                <c:pt idx="27">
                  <c:v>17299.799474866653</c:v>
                </c:pt>
                <c:pt idx="28">
                  <c:v>17596.803022169006</c:v>
                </c:pt>
                <c:pt idx="29">
                  <c:v>17508.150613313006</c:v>
                </c:pt>
                <c:pt idx="30">
                  <c:v>17396.169463070906</c:v>
                </c:pt>
                <c:pt idx="31">
                  <c:v>18313.578780191285</c:v>
                </c:pt>
                <c:pt idx="32">
                  <c:v>17412.582492300873</c:v>
                </c:pt>
                <c:pt idx="33">
                  <c:v>16795.702308396645</c:v>
                </c:pt>
                <c:pt idx="34">
                  <c:v>16576.829570179274</c:v>
                </c:pt>
                <c:pt idx="35">
                  <c:v>16678.906528366126</c:v>
                </c:pt>
              </c:numCache>
              <c:extLst/>
            </c:numRef>
          </c:val>
          <c:smooth val="0"/>
          <c:extLst>
            <c:ext xmlns:c16="http://schemas.microsoft.com/office/drawing/2014/chart" uri="{C3380CC4-5D6E-409C-BE32-E72D297353CC}">
              <c16:uniqueId val="{0000000C-D239-457C-A816-C248E9620864}"/>
            </c:ext>
          </c:extLst>
        </c:ser>
        <c:ser>
          <c:idx val="1"/>
          <c:order val="1"/>
          <c:tx>
            <c:strRef>
              <c:f>'Rubicon Master'!$A$20</c:f>
              <c:strCache>
                <c:ptCount val="1"/>
                <c:pt idx="0">
                  <c:v>State Funding per FTE</c:v>
                </c:pt>
              </c:strCache>
            </c:strRef>
          </c:tx>
          <c:spPr>
            <a:ln w="50800">
              <a:solidFill>
                <a:srgbClr val="FFC000"/>
              </a:solidFill>
            </a:ln>
          </c:spPr>
          <c:marker>
            <c:symbol val="none"/>
          </c:marker>
          <c:dPt>
            <c:idx val="23"/>
            <c:bubble3D val="0"/>
            <c:spPr>
              <a:ln w="50800">
                <a:solidFill>
                  <a:srgbClr val="FFC000"/>
                </a:solidFill>
                <a:prstDash val="solid"/>
              </a:ln>
            </c:spPr>
            <c:extLst>
              <c:ext xmlns:c16="http://schemas.microsoft.com/office/drawing/2014/chart" uri="{C3380CC4-5D6E-409C-BE32-E72D297353CC}">
                <c16:uniqueId val="{0000000E-D239-457C-A816-C248E9620864}"/>
              </c:ext>
            </c:extLst>
          </c:dPt>
          <c:dPt>
            <c:idx val="24"/>
            <c:bubble3D val="0"/>
            <c:spPr>
              <a:ln w="50800">
                <a:solidFill>
                  <a:srgbClr val="FFC000"/>
                </a:solidFill>
                <a:prstDash val="solid"/>
              </a:ln>
            </c:spPr>
            <c:extLst>
              <c:ext xmlns:c16="http://schemas.microsoft.com/office/drawing/2014/chart" uri="{C3380CC4-5D6E-409C-BE32-E72D297353CC}">
                <c16:uniqueId val="{00000010-D239-457C-A816-C248E9620864}"/>
              </c:ext>
            </c:extLst>
          </c:dPt>
          <c:dPt>
            <c:idx val="25"/>
            <c:bubble3D val="0"/>
            <c:spPr>
              <a:ln w="50800">
                <a:solidFill>
                  <a:srgbClr val="FFC000"/>
                </a:solidFill>
                <a:prstDash val="solid"/>
              </a:ln>
            </c:spPr>
            <c:extLst>
              <c:ext xmlns:c16="http://schemas.microsoft.com/office/drawing/2014/chart" uri="{C3380CC4-5D6E-409C-BE32-E72D297353CC}">
                <c16:uniqueId val="{00000012-D239-457C-A816-C248E9620864}"/>
              </c:ext>
            </c:extLst>
          </c:dPt>
          <c:dPt>
            <c:idx val="26"/>
            <c:bubble3D val="0"/>
            <c:spPr>
              <a:ln w="50800">
                <a:solidFill>
                  <a:srgbClr val="FFC000"/>
                </a:solidFill>
                <a:prstDash val="solid"/>
              </a:ln>
            </c:spPr>
            <c:extLst>
              <c:ext xmlns:c16="http://schemas.microsoft.com/office/drawing/2014/chart" uri="{C3380CC4-5D6E-409C-BE32-E72D297353CC}">
                <c16:uniqueId val="{00000014-D239-457C-A816-C248E9620864}"/>
              </c:ext>
            </c:extLst>
          </c:dPt>
          <c:dPt>
            <c:idx val="27"/>
            <c:bubble3D val="0"/>
            <c:spPr>
              <a:ln w="50800">
                <a:solidFill>
                  <a:srgbClr val="FFC000"/>
                </a:solidFill>
                <a:prstDash val="solid"/>
              </a:ln>
            </c:spPr>
            <c:extLst>
              <c:ext xmlns:c16="http://schemas.microsoft.com/office/drawing/2014/chart" uri="{C3380CC4-5D6E-409C-BE32-E72D297353CC}">
                <c16:uniqueId val="{00000016-D239-457C-A816-C248E9620864}"/>
              </c:ext>
            </c:extLst>
          </c:dPt>
          <c:dPt>
            <c:idx val="28"/>
            <c:bubble3D val="0"/>
            <c:spPr>
              <a:ln w="50800">
                <a:solidFill>
                  <a:srgbClr val="FFC000"/>
                </a:solidFill>
                <a:prstDash val="solid"/>
              </a:ln>
            </c:spPr>
            <c:extLst>
              <c:ext xmlns:c16="http://schemas.microsoft.com/office/drawing/2014/chart" uri="{C3380CC4-5D6E-409C-BE32-E72D297353CC}">
                <c16:uniqueId val="{00000018-D239-457C-A816-C248E9620864}"/>
              </c:ext>
            </c:extLst>
          </c:dPt>
          <c:cat>
            <c:strRef>
              <c:f>'Rubicon Master'!$C$14:$AL$14</c:f>
              <c:strCache>
                <c:ptCount val="36"/>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pt idx="31">
                  <c:v>2021-22</c:v>
                </c:pt>
                <c:pt idx="32">
                  <c:v>2022-23</c:v>
                </c:pt>
                <c:pt idx="33">
                  <c:v>2023-24</c:v>
                </c:pt>
                <c:pt idx="34">
                  <c:v>2024-25</c:v>
                </c:pt>
                <c:pt idx="35">
                  <c:v>2025-26</c:v>
                </c:pt>
              </c:strCache>
              <c:extLst/>
            </c:strRef>
          </c:cat>
          <c:val>
            <c:numRef>
              <c:f>'Rubicon Master'!$C$20:$AL$20</c:f>
              <c:numCache>
                <c:formatCode>"$"#,##0</c:formatCode>
                <c:ptCount val="36"/>
                <c:pt idx="0">
                  <c:v>22009.458065680708</c:v>
                </c:pt>
                <c:pt idx="1">
                  <c:v>20015.902969879899</c:v>
                </c:pt>
                <c:pt idx="2">
                  <c:v>20092.489226036167</c:v>
                </c:pt>
                <c:pt idx="3">
                  <c:v>18125.511588660531</c:v>
                </c:pt>
                <c:pt idx="4">
                  <c:v>17163.732164129557</c:v>
                </c:pt>
                <c:pt idx="5">
                  <c:v>17220.142300452102</c:v>
                </c:pt>
                <c:pt idx="6">
                  <c:v>16776.245480041845</c:v>
                </c:pt>
                <c:pt idx="7">
                  <c:v>17007.077817905443</c:v>
                </c:pt>
                <c:pt idx="8">
                  <c:v>17356.494803536414</c:v>
                </c:pt>
                <c:pt idx="9">
                  <c:v>18029.810223611035</c:v>
                </c:pt>
                <c:pt idx="10">
                  <c:v>18047.242844083368</c:v>
                </c:pt>
                <c:pt idx="11">
                  <c:v>17110.449709715536</c:v>
                </c:pt>
                <c:pt idx="12">
                  <c:v>16204.618268589325</c:v>
                </c:pt>
                <c:pt idx="13">
                  <c:v>14973.854182748926</c:v>
                </c:pt>
                <c:pt idx="14">
                  <c:v>15408.810248228518</c:v>
                </c:pt>
                <c:pt idx="15">
                  <c:v>15726.133467619631</c:v>
                </c:pt>
                <c:pt idx="16">
                  <c:v>15759.445680081499</c:v>
                </c:pt>
                <c:pt idx="17">
                  <c:v>16278.917682221276</c:v>
                </c:pt>
                <c:pt idx="18">
                  <c:v>14641.649901403849</c:v>
                </c:pt>
                <c:pt idx="19">
                  <c:v>10868.345816748217</c:v>
                </c:pt>
                <c:pt idx="20">
                  <c:v>10018.874552288518</c:v>
                </c:pt>
                <c:pt idx="21">
                  <c:v>7154.6204552353875</c:v>
                </c:pt>
                <c:pt idx="22">
                  <c:v>6750.9496593117483</c:v>
                </c:pt>
                <c:pt idx="23">
                  <c:v>7809.7698999104778</c:v>
                </c:pt>
                <c:pt idx="24">
                  <c:v>7300.0210334706644</c:v>
                </c:pt>
                <c:pt idx="25">
                  <c:v>8433.3200158793879</c:v>
                </c:pt>
                <c:pt idx="26">
                  <c:v>9306.7418387337766</c:v>
                </c:pt>
                <c:pt idx="27">
                  <c:v>9453.0554472370841</c:v>
                </c:pt>
                <c:pt idx="28">
                  <c:v>9561.3059440485285</c:v>
                </c:pt>
                <c:pt idx="29">
                  <c:v>10109.222377689301</c:v>
                </c:pt>
                <c:pt idx="30">
                  <c:v>10373.461695585098</c:v>
                </c:pt>
                <c:pt idx="31">
                  <c:v>10141.439808414496</c:v>
                </c:pt>
                <c:pt idx="32">
                  <c:v>10301.567210642192</c:v>
                </c:pt>
                <c:pt idx="33">
                  <c:v>10782.049666944868</c:v>
                </c:pt>
                <c:pt idx="34">
                  <c:v>11220.873853161816</c:v>
                </c:pt>
                <c:pt idx="35">
                  <c:v>10734.015598400571</c:v>
                </c:pt>
              </c:numCache>
              <c:extLst/>
            </c:numRef>
          </c:val>
          <c:smooth val="0"/>
          <c:extLst>
            <c:ext xmlns:c16="http://schemas.microsoft.com/office/drawing/2014/chart" uri="{C3380CC4-5D6E-409C-BE32-E72D297353CC}">
              <c16:uniqueId val="{00000019-D239-457C-A816-C248E9620864}"/>
            </c:ext>
          </c:extLst>
        </c:ser>
        <c:ser>
          <c:idx val="2"/>
          <c:order val="2"/>
          <c:tx>
            <c:strRef>
              <c:f>'Rubicon Master'!$A$21</c:f>
              <c:strCache>
                <c:ptCount val="1"/>
                <c:pt idx="0">
                  <c:v>Total Funding per Student FTE</c:v>
                </c:pt>
              </c:strCache>
            </c:strRef>
          </c:tx>
          <c:spPr>
            <a:ln w="50800">
              <a:solidFill>
                <a:prstClr val="white">
                  <a:lumMod val="50000"/>
                </a:prstClr>
              </a:solidFill>
            </a:ln>
          </c:spPr>
          <c:marker>
            <c:symbol val="none"/>
          </c:marker>
          <c:dPt>
            <c:idx val="23"/>
            <c:bubble3D val="0"/>
            <c:spPr>
              <a:ln w="50800">
                <a:solidFill>
                  <a:prstClr val="white">
                    <a:lumMod val="50000"/>
                  </a:prstClr>
                </a:solidFill>
                <a:prstDash val="solid"/>
              </a:ln>
            </c:spPr>
            <c:extLst>
              <c:ext xmlns:c16="http://schemas.microsoft.com/office/drawing/2014/chart" uri="{C3380CC4-5D6E-409C-BE32-E72D297353CC}">
                <c16:uniqueId val="{0000001B-D239-457C-A816-C248E9620864}"/>
              </c:ext>
            </c:extLst>
          </c:dPt>
          <c:dPt>
            <c:idx val="24"/>
            <c:bubble3D val="0"/>
            <c:spPr>
              <a:ln w="50800">
                <a:solidFill>
                  <a:prstClr val="white">
                    <a:lumMod val="50000"/>
                  </a:prstClr>
                </a:solidFill>
                <a:prstDash val="solid"/>
              </a:ln>
            </c:spPr>
            <c:extLst>
              <c:ext xmlns:c16="http://schemas.microsoft.com/office/drawing/2014/chart" uri="{C3380CC4-5D6E-409C-BE32-E72D297353CC}">
                <c16:uniqueId val="{0000001D-D239-457C-A816-C248E9620864}"/>
              </c:ext>
            </c:extLst>
          </c:dPt>
          <c:dPt>
            <c:idx val="25"/>
            <c:bubble3D val="0"/>
            <c:spPr>
              <a:ln w="50800">
                <a:solidFill>
                  <a:prstClr val="white">
                    <a:lumMod val="50000"/>
                  </a:prstClr>
                </a:solidFill>
                <a:prstDash val="solid"/>
              </a:ln>
            </c:spPr>
            <c:extLst>
              <c:ext xmlns:c16="http://schemas.microsoft.com/office/drawing/2014/chart" uri="{C3380CC4-5D6E-409C-BE32-E72D297353CC}">
                <c16:uniqueId val="{0000001F-D239-457C-A816-C248E9620864}"/>
              </c:ext>
            </c:extLst>
          </c:dPt>
          <c:dPt>
            <c:idx val="26"/>
            <c:bubble3D val="0"/>
            <c:spPr>
              <a:ln w="50800">
                <a:solidFill>
                  <a:prstClr val="white">
                    <a:lumMod val="50000"/>
                  </a:prstClr>
                </a:solidFill>
                <a:prstDash val="solid"/>
              </a:ln>
            </c:spPr>
            <c:extLst>
              <c:ext xmlns:c16="http://schemas.microsoft.com/office/drawing/2014/chart" uri="{C3380CC4-5D6E-409C-BE32-E72D297353CC}">
                <c16:uniqueId val="{00000021-D239-457C-A816-C248E9620864}"/>
              </c:ext>
            </c:extLst>
          </c:dPt>
          <c:dPt>
            <c:idx val="27"/>
            <c:bubble3D val="0"/>
            <c:spPr>
              <a:ln w="50800">
                <a:solidFill>
                  <a:prstClr val="white">
                    <a:lumMod val="50000"/>
                  </a:prstClr>
                </a:solidFill>
                <a:prstDash val="solid"/>
              </a:ln>
            </c:spPr>
            <c:extLst>
              <c:ext xmlns:c16="http://schemas.microsoft.com/office/drawing/2014/chart" uri="{C3380CC4-5D6E-409C-BE32-E72D297353CC}">
                <c16:uniqueId val="{00000023-D239-457C-A816-C248E9620864}"/>
              </c:ext>
            </c:extLst>
          </c:dPt>
          <c:dPt>
            <c:idx val="28"/>
            <c:bubble3D val="0"/>
            <c:spPr>
              <a:ln w="50800">
                <a:solidFill>
                  <a:prstClr val="white">
                    <a:lumMod val="50000"/>
                  </a:prstClr>
                </a:solidFill>
                <a:prstDash val="solid"/>
              </a:ln>
            </c:spPr>
            <c:extLst>
              <c:ext xmlns:c16="http://schemas.microsoft.com/office/drawing/2014/chart" uri="{C3380CC4-5D6E-409C-BE32-E72D297353CC}">
                <c16:uniqueId val="{00000025-D239-457C-A816-C248E9620864}"/>
              </c:ext>
            </c:extLst>
          </c:dPt>
          <c:cat>
            <c:strRef>
              <c:f>'Rubicon Master'!$C$14:$AL$14</c:f>
              <c:strCache>
                <c:ptCount val="36"/>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pt idx="31">
                  <c:v>2021-22</c:v>
                </c:pt>
                <c:pt idx="32">
                  <c:v>2022-23</c:v>
                </c:pt>
                <c:pt idx="33">
                  <c:v>2023-24</c:v>
                </c:pt>
                <c:pt idx="34">
                  <c:v>2024-25</c:v>
                </c:pt>
                <c:pt idx="35">
                  <c:v>2025-26</c:v>
                </c:pt>
              </c:strCache>
              <c:extLst/>
            </c:strRef>
          </c:cat>
          <c:val>
            <c:numRef>
              <c:f>'Rubicon Master'!$C$21:$AL$21</c:f>
              <c:numCache>
                <c:formatCode>"$"#,##0</c:formatCode>
                <c:ptCount val="36"/>
                <c:pt idx="0">
                  <c:v>26977.870138681403</c:v>
                </c:pt>
                <c:pt idx="1">
                  <c:v>25309.068192466599</c:v>
                </c:pt>
                <c:pt idx="2">
                  <c:v>25352.724886989548</c:v>
                </c:pt>
                <c:pt idx="3">
                  <c:v>23421.791951480896</c:v>
                </c:pt>
                <c:pt idx="4">
                  <c:v>24031.158776891712</c:v>
                </c:pt>
                <c:pt idx="5">
                  <c:v>23523.798393506171</c:v>
                </c:pt>
                <c:pt idx="6">
                  <c:v>23108.126040016235</c:v>
                </c:pt>
                <c:pt idx="7">
                  <c:v>23207.512583482778</c:v>
                </c:pt>
                <c:pt idx="8">
                  <c:v>25060.994455722786</c:v>
                </c:pt>
                <c:pt idx="9">
                  <c:v>25301.192962264799</c:v>
                </c:pt>
                <c:pt idx="10">
                  <c:v>25202.057708154247</c:v>
                </c:pt>
                <c:pt idx="11">
                  <c:v>24612.11082096686</c:v>
                </c:pt>
                <c:pt idx="12">
                  <c:v>24638.607997099338</c:v>
                </c:pt>
                <c:pt idx="13">
                  <c:v>23539.63658360863</c:v>
                </c:pt>
                <c:pt idx="14">
                  <c:v>25181.128569000452</c:v>
                </c:pt>
                <c:pt idx="15">
                  <c:v>25550.82629582443</c:v>
                </c:pt>
                <c:pt idx="16">
                  <c:v>26737.528263947326</c:v>
                </c:pt>
                <c:pt idx="17">
                  <c:v>28083.0706946424</c:v>
                </c:pt>
                <c:pt idx="18">
                  <c:v>26289.076498378308</c:v>
                </c:pt>
                <c:pt idx="19">
                  <c:v>23473.329515779176</c:v>
                </c:pt>
                <c:pt idx="20">
                  <c:v>24043.645013057565</c:v>
                </c:pt>
                <c:pt idx="21">
                  <c:v>23118.879803815616</c:v>
                </c:pt>
                <c:pt idx="22">
                  <c:v>23993.72562537665</c:v>
                </c:pt>
                <c:pt idx="23">
                  <c:v>25482.13241106143</c:v>
                </c:pt>
                <c:pt idx="24">
                  <c:v>25357.24449348405</c:v>
                </c:pt>
                <c:pt idx="25">
                  <c:v>26623.390420660115</c:v>
                </c:pt>
                <c:pt idx="26">
                  <c:v>26504.484428231899</c:v>
                </c:pt>
                <c:pt idx="27">
                  <c:v>26752.854922103743</c:v>
                </c:pt>
                <c:pt idx="28">
                  <c:v>27158.108966217536</c:v>
                </c:pt>
                <c:pt idx="29">
                  <c:v>27617.372991002303</c:v>
                </c:pt>
                <c:pt idx="30">
                  <c:v>27769.631158655997</c:v>
                </c:pt>
                <c:pt idx="31">
                  <c:v>28455.018588605784</c:v>
                </c:pt>
                <c:pt idx="32">
                  <c:v>27714.149702943065</c:v>
                </c:pt>
                <c:pt idx="33">
                  <c:v>27577.751975341511</c:v>
                </c:pt>
                <c:pt idx="34">
                  <c:v>27797.703423341092</c:v>
                </c:pt>
                <c:pt idx="35">
                  <c:v>27412.922126766698</c:v>
                </c:pt>
              </c:numCache>
              <c:extLst/>
            </c:numRef>
          </c:val>
          <c:smooth val="0"/>
          <c:extLst>
            <c:ext xmlns:c16="http://schemas.microsoft.com/office/drawing/2014/chart" uri="{C3380CC4-5D6E-409C-BE32-E72D297353CC}">
              <c16:uniqueId val="{00000026-D239-457C-A816-C248E9620864}"/>
            </c:ext>
          </c:extLst>
        </c:ser>
        <c:dLbls>
          <c:showLegendKey val="0"/>
          <c:showVal val="0"/>
          <c:showCatName val="0"/>
          <c:showSerName val="0"/>
          <c:showPercent val="0"/>
          <c:showBubbleSize val="0"/>
        </c:dLbls>
        <c:smooth val="0"/>
        <c:axId val="181043600"/>
        <c:axId val="181662064"/>
      </c:lineChart>
      <c:catAx>
        <c:axId val="181043600"/>
        <c:scaling>
          <c:orientation val="minMax"/>
        </c:scaling>
        <c:delete val="0"/>
        <c:axPos val="b"/>
        <c:numFmt formatCode="General" sourceLinked="0"/>
        <c:majorTickMark val="none"/>
        <c:minorTickMark val="none"/>
        <c:tickLblPos val="nextTo"/>
        <c:txPr>
          <a:bodyPr rot="-2400000"/>
          <a:lstStyle/>
          <a:p>
            <a:pPr>
              <a:defRPr sz="800" b="1" baseline="0">
                <a:solidFill>
                  <a:schemeClr val="tx1"/>
                </a:solidFill>
              </a:defRPr>
            </a:pPr>
            <a:endParaRPr lang="en-US"/>
          </a:p>
        </c:txPr>
        <c:crossAx val="181662064"/>
        <c:crosses val="autoZero"/>
        <c:auto val="1"/>
        <c:lblAlgn val="ctr"/>
        <c:lblOffset val="100"/>
        <c:noMultiLvlLbl val="0"/>
      </c:catAx>
      <c:valAx>
        <c:axId val="181662064"/>
        <c:scaling>
          <c:orientation val="minMax"/>
          <c:max val="30000"/>
        </c:scaling>
        <c:delete val="0"/>
        <c:axPos val="l"/>
        <c:majorGridlines/>
        <c:title>
          <c:tx>
            <c:rich>
              <a:bodyPr rot="-5400000" vert="horz"/>
              <a:lstStyle/>
              <a:p>
                <a:pPr>
                  <a:defRPr sz="1400"/>
                </a:pPr>
                <a:r>
                  <a:rPr lang="en-US" sz="1200"/>
                  <a:t>Funding per FTE (2025 Dollars, CPI-U)</a:t>
                </a:r>
              </a:p>
            </c:rich>
          </c:tx>
          <c:layout>
            <c:manualLayout>
              <c:xMode val="edge"/>
              <c:yMode val="edge"/>
              <c:x val="6.6147597472103704E-3"/>
              <c:y val="0.24103913147220235"/>
            </c:manualLayout>
          </c:layout>
          <c:overlay val="0"/>
        </c:title>
        <c:numFmt formatCode="&quot;$&quot;#,##0" sourceLinked="1"/>
        <c:majorTickMark val="out"/>
        <c:minorTickMark val="none"/>
        <c:tickLblPos val="nextTo"/>
        <c:txPr>
          <a:bodyPr/>
          <a:lstStyle/>
          <a:p>
            <a:pPr>
              <a:defRPr sz="1000" b="1"/>
            </a:pPr>
            <a:endParaRPr lang="en-US"/>
          </a:p>
        </c:txPr>
        <c:crossAx val="181043600"/>
        <c:crosses val="autoZero"/>
        <c:crossBetween val="between"/>
        <c:majorUnit val="5000"/>
      </c:valAx>
    </c:plotArea>
    <c:legend>
      <c:legendPos val="r"/>
      <c:layout>
        <c:manualLayout>
          <c:xMode val="edge"/>
          <c:yMode val="edge"/>
          <c:x val="0.74098021965131455"/>
          <c:y val="0.68826890956812214"/>
          <c:w val="0.2520072141820261"/>
          <c:h val="0.18840909090909089"/>
        </c:manualLayout>
      </c:layout>
      <c:overlay val="0"/>
      <c:spPr>
        <a:solidFill>
          <a:schemeClr val="bg1"/>
        </a:solidFill>
      </c:spPr>
      <c:txPr>
        <a:bodyPr/>
        <a:lstStyle/>
        <a:p>
          <a:pPr>
            <a:defRPr sz="1000"/>
          </a:pPr>
          <a:endParaRPr lang="en-US"/>
        </a:p>
      </c:txPr>
    </c:legend>
    <c:plotVisOnly val="1"/>
    <c:dispBlanksAs val="gap"/>
    <c:showDLblsOverMax val="0"/>
  </c:chart>
  <c:spPr>
    <a:noFill/>
    <a:ln>
      <a:noFill/>
    </a:ln>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0.16887</cdr:x>
      <cdr:y>0.14469</cdr:y>
    </cdr:from>
    <cdr:to>
      <cdr:x>0.30574</cdr:x>
      <cdr:y>0.18006</cdr:y>
    </cdr:to>
    <cdr:sp macro="" textlink="">
      <cdr:nvSpPr>
        <cdr:cNvPr id="9" name="TextBox 8"/>
        <cdr:cNvSpPr txBox="1"/>
      </cdr:nvSpPr>
      <cdr:spPr>
        <a:xfrm xmlns:a="http://schemas.openxmlformats.org/drawingml/2006/main">
          <a:off x="1457325" y="857250"/>
          <a:ext cx="11811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0.14697</cdr:x>
      <cdr:y>0.19954</cdr:y>
    </cdr:from>
    <cdr:to>
      <cdr:x>0.18596</cdr:x>
      <cdr:y>0.2267</cdr:y>
    </cdr:to>
    <cdr:sp macro="" textlink="">
      <cdr:nvSpPr>
        <cdr:cNvPr id="11" name="Straight Arrow Connector 10"/>
        <cdr:cNvSpPr/>
      </cdr:nvSpPr>
      <cdr:spPr>
        <a:xfrm xmlns:a="http://schemas.openxmlformats.org/drawingml/2006/main" rot="5400000" flipH="1">
          <a:off x="1066979" y="938889"/>
          <a:ext cx="136593" cy="265908"/>
        </a:xfrm>
        <a:prstGeom xmlns:a="http://schemas.openxmlformats.org/drawingml/2006/main" prst="straightConnector1">
          <a:avLst/>
        </a:prstGeom>
        <a:ln xmlns:a="http://schemas.openxmlformats.org/drawingml/2006/main" w="19050">
          <a:solidFill>
            <a:srgbClr val="C00000"/>
          </a:solidFill>
          <a:tailEnd type="ova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0.78771</cdr:x>
      <cdr:y>0.25821</cdr:y>
    </cdr:from>
    <cdr:to>
      <cdr:x>0.98493</cdr:x>
      <cdr:y>0.45061</cdr:y>
    </cdr:to>
    <cdr:sp macro="" textlink="">
      <cdr:nvSpPr>
        <cdr:cNvPr id="14" name="TextBox 13"/>
        <cdr:cNvSpPr txBox="1"/>
      </cdr:nvSpPr>
      <cdr:spPr>
        <a:xfrm xmlns:a="http://schemas.openxmlformats.org/drawingml/2006/main">
          <a:off x="5372100" y="1298570"/>
          <a:ext cx="1345021" cy="967618"/>
        </a:xfrm>
        <a:prstGeom xmlns:a="http://schemas.openxmlformats.org/drawingml/2006/main" prst="rect">
          <a:avLst/>
        </a:prstGeom>
      </cdr:spPr>
      <cdr:txBody>
        <a:bodyPr xmlns:a="http://schemas.openxmlformats.org/drawingml/2006/main" vertOverflow="clip" wrap="none" rtlCol="0">
          <a:noAutofit/>
        </a:bodyPr>
        <a:lstStyle xmlns:a="http://schemas.openxmlformats.org/drawingml/2006/main"/>
        <a:p xmlns:a="http://schemas.openxmlformats.org/drawingml/2006/main">
          <a:pPr algn="ctr"/>
          <a:r>
            <a:rPr lang="en-US" sz="1000"/>
            <a:t>$27,413</a:t>
          </a:r>
          <a:endParaRPr lang="en-US" sz="1000" baseline="0"/>
        </a:p>
        <a:p xmlns:a="http://schemas.openxmlformats.org/drawingml/2006/main">
          <a:pPr algn="ctr"/>
          <a:r>
            <a:rPr lang="en-US" sz="1000" i="1"/>
            <a:t>(FUNDING PER FTE - FY26)</a:t>
          </a:r>
          <a:br>
            <a:rPr lang="en-US" sz="1000" i="1"/>
          </a:br>
          <a:r>
            <a:rPr lang="en-US" sz="1000" i="1"/>
            <a:t>39%</a:t>
          </a:r>
          <a:r>
            <a:rPr lang="en-US" sz="1000" i="1" baseline="0"/>
            <a:t> State, 61% Families</a:t>
          </a:r>
          <a:endParaRPr lang="en-US" sz="1000" i="1"/>
        </a:p>
        <a:p xmlns:a="http://schemas.openxmlformats.org/drawingml/2006/main">
          <a:endParaRPr lang="en-US" sz="900"/>
        </a:p>
        <a:p xmlns:a="http://schemas.openxmlformats.org/drawingml/2006/main">
          <a:endParaRPr lang="en-US" sz="900"/>
        </a:p>
      </cdr:txBody>
    </cdr:sp>
  </cdr:relSizeAnchor>
  <cdr:relSizeAnchor xmlns:cdr="http://schemas.openxmlformats.org/drawingml/2006/chartDrawing">
    <cdr:from>
      <cdr:x>0.92187</cdr:x>
      <cdr:y>0.19375</cdr:y>
    </cdr:from>
    <cdr:to>
      <cdr:x>0.97376</cdr:x>
      <cdr:y>0.27685</cdr:y>
    </cdr:to>
    <cdr:sp macro="" textlink="">
      <cdr:nvSpPr>
        <cdr:cNvPr id="7" name="Straight Arrow Connector 6"/>
        <cdr:cNvSpPr/>
      </cdr:nvSpPr>
      <cdr:spPr>
        <a:xfrm xmlns:a="http://schemas.openxmlformats.org/drawingml/2006/main" rot="5400000" flipH="1" flipV="1">
          <a:off x="6255036" y="1006448"/>
          <a:ext cx="417927" cy="353885"/>
        </a:xfrm>
        <a:prstGeom xmlns:a="http://schemas.openxmlformats.org/drawingml/2006/main" prst="straightConnector1">
          <a:avLst/>
        </a:prstGeom>
        <a:ln xmlns:a="http://schemas.openxmlformats.org/drawingml/2006/main" w="19050">
          <a:solidFill>
            <a:srgbClr val="C00000"/>
          </a:solidFill>
          <a:tailEnd type="ova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0.16576</cdr:x>
      <cdr:y>0.13488</cdr:y>
    </cdr:from>
    <cdr:to>
      <cdr:x>0.39714</cdr:x>
      <cdr:y>0.21065</cdr:y>
    </cdr:to>
    <cdr:sp macro="" textlink="">
      <cdr:nvSpPr>
        <cdr:cNvPr id="6" name="TextBox 1"/>
        <cdr:cNvSpPr txBox="1"/>
      </cdr:nvSpPr>
      <cdr:spPr>
        <a:xfrm xmlns:a="http://schemas.openxmlformats.org/drawingml/2006/main">
          <a:off x="1130445" y="678338"/>
          <a:ext cx="1577989" cy="3810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a:t>$26,978</a:t>
          </a:r>
        </a:p>
        <a:p xmlns:a="http://schemas.openxmlformats.org/drawingml/2006/main">
          <a:pPr algn="ctr"/>
          <a:r>
            <a:rPr lang="en-US" sz="1000" i="1"/>
            <a:t>(FUNDING PER FTE - FY91)</a:t>
          </a:r>
          <a:br>
            <a:rPr lang="en-US" sz="1000" i="1"/>
          </a:br>
          <a:r>
            <a:rPr lang="en-US" sz="1000" i="1"/>
            <a:t>82%</a:t>
          </a:r>
          <a:r>
            <a:rPr lang="en-US" sz="1000" i="1" baseline="0"/>
            <a:t> State, 18% Families</a:t>
          </a:r>
          <a:endParaRPr lang="en-US" sz="1000" i="1"/>
        </a:p>
        <a:p xmlns:a="http://schemas.openxmlformats.org/drawingml/2006/main">
          <a:endParaRPr lang="en-US" sz="1000"/>
        </a:p>
        <a:p xmlns:a="http://schemas.openxmlformats.org/drawingml/2006/main">
          <a:endParaRPr lang="en-US" sz="1000"/>
        </a:p>
      </cdr:txBody>
    </cdr:sp>
  </cdr:relSizeAnchor>
</c:userShape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6" ma:contentTypeDescription="Create a new document." ma:contentTypeScope="" ma:versionID="34630ca0ae6b1aece9283476238d3bcd">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a69c75731199b91f464c873c9e7b0332"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FCD16-6F4C-4162-9CB2-2EA92009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3C899-5D05-46D5-B260-AFBA73F5CAE0}">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3.xml><?xml version="1.0" encoding="utf-8"?>
<ds:datastoreItem xmlns:ds="http://schemas.openxmlformats.org/officeDocument/2006/customXml" ds:itemID="{DD45E9A2-8EC6-43CD-894C-0315C3CDFD0F}">
  <ds:schemaRefs>
    <ds:schemaRef ds:uri="http://schemas.openxmlformats.org/officeDocument/2006/bibliography"/>
  </ds:schemaRefs>
</ds:datastoreItem>
</file>

<file path=customXml/itemProps4.xml><?xml version="1.0" encoding="utf-8"?>
<ds:datastoreItem xmlns:ds="http://schemas.openxmlformats.org/officeDocument/2006/customXml" ds:itemID="{31FB51BB-8C34-49DE-AE7C-35F64F0E3DDA}">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405</TotalTime>
  <Pages>4</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Links>
    <vt:vector size="18" baseType="variant">
      <vt:variant>
        <vt:i4>7471156</vt:i4>
      </vt:variant>
      <vt:variant>
        <vt:i4>6</vt:i4>
      </vt:variant>
      <vt:variant>
        <vt:i4>0</vt:i4>
      </vt:variant>
      <vt:variant>
        <vt:i4>5</vt:i4>
      </vt:variant>
      <vt:variant>
        <vt:lpwstr>https://www.washington.edu/opb/uw-data/fast-facts/</vt:lpwstr>
      </vt:variant>
      <vt:variant>
        <vt:lpwstr/>
      </vt:variant>
      <vt:variant>
        <vt:i4>196609</vt:i4>
      </vt:variant>
      <vt:variant>
        <vt:i4>3</vt:i4>
      </vt:variant>
      <vt:variant>
        <vt:i4>0</vt:i4>
      </vt:variant>
      <vt:variant>
        <vt:i4>5</vt:i4>
      </vt:variant>
      <vt:variant>
        <vt:lpwstr>https://s3-us-west-2.amazonaws.com/uw-s3-cdn/wp-content/uploads/sites/162/2019/01/08103557/Book-Review_College-Costs-2-22-2011_0.pdf</vt:lpwstr>
      </vt:variant>
      <vt:variant>
        <vt:lpwstr/>
      </vt:variant>
      <vt:variant>
        <vt:i4>2097169</vt:i4>
      </vt:variant>
      <vt:variant>
        <vt:i4>0</vt:i4>
      </vt:variant>
      <vt:variant>
        <vt:i4>0</vt:i4>
      </vt:variant>
      <vt:variant>
        <vt:i4>5</vt:i4>
      </vt:variant>
      <vt:variant>
        <vt:lpwstr>https://research.collegeboard.org/media/pdf/Trends-in-College-Pricing-and-Student-Aid-2025-final_1.pdf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 Price vs. Net Price - 2024 Update</dc:title>
  <dc:subject/>
  <dc:creator>lehatch@uw.edu</dc:creator>
  <cp:keywords/>
  <dc:description/>
  <cp:lastModifiedBy>Teja Raichur</cp:lastModifiedBy>
  <cp:revision>214</cp:revision>
  <cp:lastPrinted>2026-05-14T20:15:00Z</cp:lastPrinted>
  <dcterms:created xsi:type="dcterms:W3CDTF">2024-11-14T20:16:00Z</dcterms:created>
  <dcterms:modified xsi:type="dcterms:W3CDTF">2026-05-14T20:27:00Z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y fmtid="{D5CDD505-2E9C-101B-9397-08002B2CF9AE}" pid="4" name="GrammarlyDocumentId">
    <vt:lpwstr>2042866a547ef232edf628ae76cca4c59893d49eecf556a3b49525bd9b5924e2</vt:lpwstr>
  </property>
</Properties>
</file>