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FD" w:rsidRDefault="00B26497" w:rsidP="00B26497">
      <w:pPr>
        <w:jc w:val="center"/>
        <w:rPr>
          <w:b/>
        </w:rPr>
      </w:pPr>
      <w:r w:rsidRPr="00B26497">
        <w:rPr>
          <w:b/>
        </w:rPr>
        <w:t>Ariba eTravel Wire Changes</w:t>
      </w:r>
      <w:r>
        <w:rPr>
          <w:b/>
        </w:rPr>
        <w:t xml:space="preserve"> 5/18/2018</w:t>
      </w:r>
    </w:p>
    <w:p w:rsidR="00B26497" w:rsidRDefault="00B26497" w:rsidP="00CB0ADC">
      <w:pPr>
        <w:rPr>
          <w:rFonts w:ascii="Encode Sans Normal" w:hAnsi="Encode Sans Normal"/>
          <w:sz w:val="24"/>
          <w:szCs w:val="24"/>
        </w:rPr>
      </w:pPr>
      <w:r>
        <w:t>All implemented changes</w:t>
      </w:r>
      <w:r w:rsidR="00CB0ADC">
        <w:t xml:space="preserve"> in this edition are in support for UW Accounts Payable’s efforts to streamline the wire payment process.  The current process is an intensive manual process, and this is part of a multi-year effort to minimize possible errors and manual journal-vouchers.</w:t>
      </w:r>
    </w:p>
    <w:p w:rsidR="00B26497" w:rsidRDefault="00B26497" w:rsidP="00B26497">
      <w:r>
        <w:t xml:space="preserve">Please send all questions and concerns to </w:t>
      </w:r>
      <w:hyperlink r:id="rId7" w:history="1">
        <w:r>
          <w:rPr>
            <w:rStyle w:val="Hyperlink"/>
          </w:rPr>
          <w:t>traveluw@uw.edu</w:t>
        </w:r>
      </w:hyperlink>
    </w:p>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p w:rsidR="00B26497" w:rsidRDefault="00B26497" w:rsidP="00B26497"/>
    <w:sdt>
      <w:sdtPr>
        <w:rPr>
          <w:rFonts w:asciiTheme="minorHAnsi" w:eastAsiaTheme="minorHAnsi" w:hAnsiTheme="minorHAnsi" w:cstheme="minorBidi"/>
          <w:color w:val="auto"/>
          <w:sz w:val="22"/>
          <w:szCs w:val="22"/>
        </w:rPr>
        <w:id w:val="-403140807"/>
        <w:docPartObj>
          <w:docPartGallery w:val="Table of Contents"/>
          <w:docPartUnique/>
        </w:docPartObj>
      </w:sdtPr>
      <w:sdtEndPr>
        <w:rPr>
          <w:b/>
          <w:bCs/>
          <w:noProof/>
        </w:rPr>
      </w:sdtEndPr>
      <w:sdtContent>
        <w:p w:rsidR="009A7544" w:rsidRDefault="009A7544">
          <w:pPr>
            <w:pStyle w:val="TOCHeading"/>
          </w:pPr>
          <w:r>
            <w:t>Contents</w:t>
          </w:r>
        </w:p>
        <w:p w:rsidR="009A7544" w:rsidRDefault="009A754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2953727" w:history="1">
            <w:r w:rsidRPr="00CF4142">
              <w:rPr>
                <w:rStyle w:val="Hyperlink"/>
                <w:noProof/>
              </w:rPr>
              <w:t>Wire detail on print version of expense report removed</w:t>
            </w:r>
            <w:r>
              <w:rPr>
                <w:noProof/>
                <w:webHidden/>
              </w:rPr>
              <w:tab/>
            </w:r>
            <w:r>
              <w:rPr>
                <w:noProof/>
                <w:webHidden/>
              </w:rPr>
              <w:fldChar w:fldCharType="begin"/>
            </w:r>
            <w:r>
              <w:rPr>
                <w:noProof/>
                <w:webHidden/>
              </w:rPr>
              <w:instrText xml:space="preserve"> PAGEREF _Toc512953727 \h </w:instrText>
            </w:r>
            <w:r>
              <w:rPr>
                <w:noProof/>
                <w:webHidden/>
              </w:rPr>
            </w:r>
            <w:r>
              <w:rPr>
                <w:noProof/>
                <w:webHidden/>
              </w:rPr>
              <w:fldChar w:fldCharType="separate"/>
            </w:r>
            <w:r>
              <w:rPr>
                <w:noProof/>
                <w:webHidden/>
              </w:rPr>
              <w:t>3</w:t>
            </w:r>
            <w:r>
              <w:rPr>
                <w:noProof/>
                <w:webHidden/>
              </w:rPr>
              <w:fldChar w:fldCharType="end"/>
            </w:r>
          </w:hyperlink>
        </w:p>
        <w:p w:rsidR="009A7544" w:rsidRDefault="003E4530">
          <w:pPr>
            <w:pStyle w:val="TOC1"/>
            <w:tabs>
              <w:tab w:val="right" w:leader="dot" w:pos="9350"/>
            </w:tabs>
            <w:rPr>
              <w:rFonts w:eastAsiaTheme="minorEastAsia"/>
              <w:noProof/>
            </w:rPr>
          </w:pPr>
          <w:hyperlink w:anchor="_Toc512953728" w:history="1">
            <w:r w:rsidR="009A7544" w:rsidRPr="00CF4142">
              <w:rPr>
                <w:rStyle w:val="Hyperlink"/>
                <w:noProof/>
              </w:rPr>
              <w:t>Wire Form</w:t>
            </w:r>
            <w:r w:rsidR="009A7544">
              <w:rPr>
                <w:noProof/>
                <w:webHidden/>
              </w:rPr>
              <w:tab/>
            </w:r>
            <w:r w:rsidR="009A7544">
              <w:rPr>
                <w:noProof/>
                <w:webHidden/>
              </w:rPr>
              <w:fldChar w:fldCharType="begin"/>
            </w:r>
            <w:r w:rsidR="009A7544">
              <w:rPr>
                <w:noProof/>
                <w:webHidden/>
              </w:rPr>
              <w:instrText xml:space="preserve"> PAGEREF _Toc512953728 \h </w:instrText>
            </w:r>
            <w:r w:rsidR="009A7544">
              <w:rPr>
                <w:noProof/>
                <w:webHidden/>
              </w:rPr>
            </w:r>
            <w:r w:rsidR="009A7544">
              <w:rPr>
                <w:noProof/>
                <w:webHidden/>
              </w:rPr>
              <w:fldChar w:fldCharType="separate"/>
            </w:r>
            <w:r w:rsidR="009A7544">
              <w:rPr>
                <w:noProof/>
                <w:webHidden/>
              </w:rPr>
              <w:t>4</w:t>
            </w:r>
            <w:r w:rsidR="009A7544">
              <w:rPr>
                <w:noProof/>
                <w:webHidden/>
              </w:rPr>
              <w:fldChar w:fldCharType="end"/>
            </w:r>
          </w:hyperlink>
        </w:p>
        <w:p w:rsidR="009A7544" w:rsidRDefault="003E4530">
          <w:pPr>
            <w:pStyle w:val="TOC1"/>
            <w:tabs>
              <w:tab w:val="right" w:leader="dot" w:pos="9350"/>
            </w:tabs>
            <w:rPr>
              <w:rFonts w:eastAsiaTheme="minorEastAsia"/>
              <w:noProof/>
            </w:rPr>
          </w:pPr>
          <w:hyperlink w:anchor="_Toc512953729" w:history="1">
            <w:r w:rsidR="009A7544" w:rsidRPr="00CF4142">
              <w:rPr>
                <w:rStyle w:val="Hyperlink"/>
                <w:noProof/>
              </w:rPr>
              <w:t>Wire fee eTravel instruction removed (now automatic)</w:t>
            </w:r>
            <w:r w:rsidR="009A7544">
              <w:rPr>
                <w:noProof/>
                <w:webHidden/>
              </w:rPr>
              <w:tab/>
            </w:r>
            <w:r w:rsidR="009A7544">
              <w:rPr>
                <w:noProof/>
                <w:webHidden/>
              </w:rPr>
              <w:fldChar w:fldCharType="begin"/>
            </w:r>
            <w:r w:rsidR="009A7544">
              <w:rPr>
                <w:noProof/>
                <w:webHidden/>
              </w:rPr>
              <w:instrText xml:space="preserve"> PAGEREF _Toc512953729 \h </w:instrText>
            </w:r>
            <w:r w:rsidR="009A7544">
              <w:rPr>
                <w:noProof/>
                <w:webHidden/>
              </w:rPr>
            </w:r>
            <w:r w:rsidR="009A7544">
              <w:rPr>
                <w:noProof/>
                <w:webHidden/>
              </w:rPr>
              <w:fldChar w:fldCharType="separate"/>
            </w:r>
            <w:r w:rsidR="009A7544">
              <w:rPr>
                <w:noProof/>
                <w:webHidden/>
              </w:rPr>
              <w:t>5</w:t>
            </w:r>
            <w:r w:rsidR="009A7544">
              <w:rPr>
                <w:noProof/>
                <w:webHidden/>
              </w:rPr>
              <w:fldChar w:fldCharType="end"/>
            </w:r>
          </w:hyperlink>
        </w:p>
        <w:p w:rsidR="009A7544" w:rsidRDefault="009A7544">
          <w:r>
            <w:rPr>
              <w:b/>
              <w:bCs/>
              <w:noProof/>
            </w:rPr>
            <w:fldChar w:fldCharType="end"/>
          </w:r>
        </w:p>
      </w:sdtContent>
    </w:sdt>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8079E5" w:rsidRDefault="008079E5"/>
    <w:p w:rsidR="00B963CC" w:rsidRDefault="00B963CC"/>
    <w:p w:rsidR="00B963CC" w:rsidRDefault="00B963CC"/>
    <w:p w:rsidR="00B963CC" w:rsidRDefault="008079E5" w:rsidP="000A3E5B">
      <w:pPr>
        <w:pStyle w:val="Heading1"/>
        <w:jc w:val="both"/>
      </w:pPr>
      <w:bookmarkStart w:id="0" w:name="_Toc512948855"/>
      <w:bookmarkStart w:id="1" w:name="_Toc512953727"/>
      <w:r>
        <w:lastRenderedPageBreak/>
        <w:t>Wire detail on print version of expense report removed</w:t>
      </w:r>
      <w:bookmarkEnd w:id="0"/>
      <w:bookmarkEnd w:id="1"/>
    </w:p>
    <w:p w:rsidR="009A7544" w:rsidRDefault="00B963CC" w:rsidP="009A7544">
      <w:r>
        <w:t xml:space="preserve">The wire details will no longer be present on the print version of the expense report for wire payment. This is being replaced with the now required Wire Form </w:t>
      </w:r>
      <w:r w:rsidR="000A3E5B">
        <w:t>that</w:t>
      </w:r>
      <w:r>
        <w:t xml:space="preserve"> must be filled out</w:t>
      </w:r>
      <w:r w:rsidR="00514A5D">
        <w:t xml:space="preserve"> (typed)</w:t>
      </w:r>
      <w:r>
        <w:t xml:space="preserve"> and attached to the expense report for wire payment. </w:t>
      </w:r>
    </w:p>
    <w:p w:rsidR="009A7544" w:rsidRDefault="00FF2A3F" w:rsidP="009A7544">
      <w:r>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106045</wp:posOffset>
            </wp:positionV>
            <wp:extent cx="5934075" cy="4295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295775"/>
                    </a:xfrm>
                    <a:prstGeom prst="rect">
                      <a:avLst/>
                    </a:prstGeom>
                    <a:noFill/>
                    <a:ln>
                      <a:noFill/>
                    </a:ln>
                  </pic:spPr>
                </pic:pic>
              </a:graphicData>
            </a:graphic>
          </wp:anchor>
        </w:drawing>
      </w:r>
    </w:p>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9A7544" w:rsidRDefault="009A7544" w:rsidP="009A7544"/>
    <w:p w:rsidR="00FF2A3F" w:rsidRDefault="00FF2A3F" w:rsidP="009A7544">
      <w:pPr>
        <w:rPr>
          <w:rStyle w:val="Heading1Char"/>
        </w:rPr>
      </w:pPr>
      <w:bookmarkStart w:id="2" w:name="_Toc512953728"/>
    </w:p>
    <w:p w:rsidR="00FF2A3F" w:rsidRDefault="00FF2A3F" w:rsidP="009A7544">
      <w:pPr>
        <w:rPr>
          <w:rStyle w:val="Heading1Char"/>
        </w:rPr>
      </w:pPr>
    </w:p>
    <w:p w:rsidR="00B963CC" w:rsidRDefault="00B963CC" w:rsidP="009A7544">
      <w:r w:rsidRPr="00B963CC">
        <w:rPr>
          <w:rStyle w:val="Heading1Char"/>
        </w:rPr>
        <w:lastRenderedPageBreak/>
        <w:t>Wire Form</w:t>
      </w:r>
      <w:bookmarkEnd w:id="2"/>
      <w:r>
        <w:rPr>
          <w:rStyle w:val="Heading1Char"/>
        </w:rPr>
        <w:t xml:space="preserve"> </w:t>
      </w:r>
    </w:p>
    <w:p w:rsidR="009A7544" w:rsidRDefault="000A3E5B" w:rsidP="009A7544">
      <w:r>
        <w:t xml:space="preserve">This form is replacing the wire details that populate on the print version of the expense report for wire payment. It must be filled out (typed), and attached to the expense report. Instruction is included on the form. </w:t>
      </w:r>
      <w:bookmarkStart w:id="3" w:name="_Toc512948856"/>
    </w:p>
    <w:p w:rsidR="009A7544" w:rsidRDefault="009A7544" w:rsidP="009A7544">
      <w:r>
        <w:rPr>
          <w:noProof/>
        </w:rPr>
        <w:drawing>
          <wp:anchor distT="0" distB="0" distL="114300" distR="114300" simplePos="0" relativeHeight="251660288" behindDoc="0" locked="0" layoutInCell="1" allowOverlap="1">
            <wp:simplePos x="0" y="0"/>
            <wp:positionH relativeFrom="margin">
              <wp:posOffset>106045</wp:posOffset>
            </wp:positionH>
            <wp:positionV relativeFrom="paragraph">
              <wp:posOffset>146050</wp:posOffset>
            </wp:positionV>
            <wp:extent cx="5675269" cy="29241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5269"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7544" w:rsidRDefault="009A7544" w:rsidP="009A7544"/>
    <w:p w:rsidR="009A7544" w:rsidRDefault="009A7544" w:rsidP="009A7544"/>
    <w:p w:rsidR="009A7544" w:rsidRDefault="009A7544" w:rsidP="008079E5">
      <w:pPr>
        <w:pStyle w:val="Heading1"/>
      </w:pPr>
    </w:p>
    <w:p w:rsidR="009A7544" w:rsidRDefault="009A7544" w:rsidP="008079E5">
      <w:pPr>
        <w:pStyle w:val="Heading1"/>
      </w:pPr>
    </w:p>
    <w:p w:rsidR="009A7544" w:rsidRDefault="009A7544" w:rsidP="008079E5">
      <w:pPr>
        <w:pStyle w:val="Heading1"/>
      </w:pPr>
    </w:p>
    <w:p w:rsidR="009A7544" w:rsidRDefault="009A7544" w:rsidP="008079E5">
      <w:pPr>
        <w:pStyle w:val="Heading1"/>
      </w:pPr>
    </w:p>
    <w:p w:rsidR="009A7544" w:rsidRDefault="009A7544" w:rsidP="009A7544"/>
    <w:p w:rsidR="009A7544" w:rsidRDefault="009A7544" w:rsidP="009A7544"/>
    <w:p w:rsidR="009A7544" w:rsidRPr="009A7544" w:rsidRDefault="009A7544" w:rsidP="009A7544"/>
    <w:p w:rsidR="009A7544" w:rsidRDefault="009A7544" w:rsidP="008079E5">
      <w:pPr>
        <w:pStyle w:val="Heading1"/>
      </w:pPr>
    </w:p>
    <w:p w:rsidR="009A7544" w:rsidRDefault="009A7544" w:rsidP="008079E5">
      <w:pPr>
        <w:pStyle w:val="Heading1"/>
      </w:pPr>
    </w:p>
    <w:p w:rsidR="009A7544" w:rsidRDefault="009A7544" w:rsidP="008079E5">
      <w:pPr>
        <w:pStyle w:val="Heading1"/>
      </w:pPr>
    </w:p>
    <w:p w:rsidR="009A7544" w:rsidRDefault="009A7544" w:rsidP="008079E5">
      <w:pPr>
        <w:pStyle w:val="Heading1"/>
      </w:pPr>
    </w:p>
    <w:p w:rsidR="009A7544" w:rsidRDefault="009A7544" w:rsidP="008079E5">
      <w:pPr>
        <w:pStyle w:val="Heading1"/>
      </w:pPr>
    </w:p>
    <w:p w:rsidR="009A7544" w:rsidRDefault="009A7544" w:rsidP="008079E5">
      <w:pPr>
        <w:pStyle w:val="Heading1"/>
      </w:pPr>
    </w:p>
    <w:p w:rsidR="009A7544" w:rsidRDefault="009A7544" w:rsidP="008079E5">
      <w:pPr>
        <w:pStyle w:val="Heading1"/>
      </w:pPr>
    </w:p>
    <w:p w:rsidR="009A7544" w:rsidRDefault="009A7544" w:rsidP="008079E5">
      <w:pPr>
        <w:pStyle w:val="Heading1"/>
      </w:pPr>
    </w:p>
    <w:p w:rsidR="009A7544" w:rsidRDefault="009A7544" w:rsidP="009A7544"/>
    <w:p w:rsidR="009A7544" w:rsidRPr="009A7544" w:rsidRDefault="009A7544" w:rsidP="009A7544"/>
    <w:p w:rsidR="000A3E5B" w:rsidRDefault="008079E5" w:rsidP="008079E5">
      <w:pPr>
        <w:pStyle w:val="Heading1"/>
      </w:pPr>
      <w:bookmarkStart w:id="4" w:name="_Toc512953729"/>
      <w:r>
        <w:lastRenderedPageBreak/>
        <w:t>Wire fee eTravel instruction removed (now automatic)</w:t>
      </w:r>
      <w:bookmarkEnd w:id="3"/>
      <w:bookmarkEnd w:id="4"/>
    </w:p>
    <w:p w:rsidR="009A6DAB" w:rsidRDefault="009A6DAB" w:rsidP="009A6DAB">
      <w:r>
        <w:t xml:space="preserve">The instruction on how to balance the wire fee in eTravel will now be removed and the wire fee will be process automatically. See below regarding how the fee will be allocated. </w:t>
      </w:r>
    </w:p>
    <w:p w:rsidR="009A6DAB" w:rsidRDefault="009A6DAB" w:rsidP="009A6DAB">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11430</wp:posOffset>
            </wp:positionV>
            <wp:extent cx="5419725" cy="3743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3743325"/>
                    </a:xfrm>
                    <a:prstGeom prst="rect">
                      <a:avLst/>
                    </a:prstGeom>
                    <a:noFill/>
                    <a:ln>
                      <a:noFill/>
                    </a:ln>
                  </pic:spPr>
                </pic:pic>
              </a:graphicData>
            </a:graphic>
          </wp:anchor>
        </w:drawing>
      </w:r>
    </w:p>
    <w:p w:rsidR="009A6DAB" w:rsidRDefault="009A6DAB" w:rsidP="009A6DAB"/>
    <w:p w:rsidR="009A6DAB" w:rsidRDefault="009A6DAB" w:rsidP="009A6DAB"/>
    <w:p w:rsidR="009A6DAB" w:rsidRDefault="009A6DAB" w:rsidP="009A6DAB"/>
    <w:p w:rsidR="009A6DAB" w:rsidRDefault="009A6DAB" w:rsidP="009A6DAB"/>
    <w:p w:rsidR="009A6DAB" w:rsidRDefault="009A6DAB" w:rsidP="009A6DAB"/>
    <w:p w:rsidR="009A6DAB" w:rsidRPr="009A6DAB" w:rsidRDefault="009A6DAB" w:rsidP="009A6DAB"/>
    <w:p w:rsidR="009A6DAB" w:rsidRDefault="003A7990" w:rsidP="000A3E5B">
      <w:pPr>
        <w:rPr>
          <w:b/>
        </w:rPr>
      </w:pPr>
      <w:r>
        <w:rPr>
          <w:b/>
        </w:rPr>
        <w:br/>
      </w:r>
      <w:r>
        <w:rPr>
          <w:b/>
        </w:rPr>
        <w:br/>
      </w:r>
    </w:p>
    <w:p w:rsidR="009A6DAB" w:rsidRDefault="009A6DAB" w:rsidP="000A3E5B">
      <w:pPr>
        <w:rPr>
          <w:b/>
        </w:rPr>
      </w:pPr>
    </w:p>
    <w:p w:rsidR="009A6DAB" w:rsidRDefault="009A6DAB" w:rsidP="000A3E5B">
      <w:pPr>
        <w:rPr>
          <w:b/>
        </w:rPr>
      </w:pPr>
    </w:p>
    <w:p w:rsidR="009A6DAB" w:rsidRDefault="009A6DAB" w:rsidP="000A3E5B">
      <w:pPr>
        <w:rPr>
          <w:b/>
        </w:rPr>
      </w:pPr>
    </w:p>
    <w:p w:rsidR="009A6DAB" w:rsidRDefault="009A6DAB" w:rsidP="000A3E5B">
      <w:pPr>
        <w:rPr>
          <w:b/>
        </w:rPr>
      </w:pPr>
    </w:p>
    <w:p w:rsidR="000A3E5B" w:rsidRPr="000A3E5B" w:rsidRDefault="000A3E5B" w:rsidP="000A3E5B">
      <w:pPr>
        <w:rPr>
          <w:b/>
        </w:rPr>
      </w:pPr>
      <w:r>
        <w:rPr>
          <w:b/>
        </w:rPr>
        <w:t>From May 18</w:t>
      </w:r>
      <w:r w:rsidRPr="000A3E5B">
        <w:rPr>
          <w:b/>
          <w:vertAlign w:val="superscript"/>
        </w:rPr>
        <w:t>th</w:t>
      </w:r>
      <w:r w:rsidR="003E4530">
        <w:rPr>
          <w:b/>
        </w:rPr>
        <w:t xml:space="preserve"> to June 15</w:t>
      </w:r>
      <w:r w:rsidRPr="000A3E5B">
        <w:rPr>
          <w:b/>
          <w:vertAlign w:val="superscript"/>
        </w:rPr>
        <w:t>th</w:t>
      </w:r>
      <w:r>
        <w:rPr>
          <w:b/>
        </w:rPr>
        <w:t xml:space="preserve">: </w:t>
      </w:r>
    </w:p>
    <w:p w:rsidR="008079E5" w:rsidRDefault="007B1E24" w:rsidP="000A3E5B">
      <w:r>
        <w:t>W</w:t>
      </w:r>
      <w:r w:rsidR="000A3E5B">
        <w:t xml:space="preserve">ire fee </w:t>
      </w:r>
      <w:r>
        <w:t xml:space="preserve">will </w:t>
      </w:r>
      <w:r w:rsidR="000A3E5B">
        <w:t xml:space="preserve">be charged to the predominant budget assigned to the expense report (budget incurring the most expense). If </w:t>
      </w:r>
      <w:r>
        <w:t xml:space="preserve">report has </w:t>
      </w:r>
      <w:r w:rsidR="000A3E5B">
        <w:t xml:space="preserve">single budget, </w:t>
      </w:r>
      <w:r>
        <w:t>fee</w:t>
      </w:r>
      <w:r w:rsidR="00514A5D">
        <w:t xml:space="preserve"> will</w:t>
      </w:r>
      <w:r w:rsidR="000A3E5B">
        <w:t xml:space="preserve"> be charged to that budget. </w:t>
      </w:r>
      <w:r w:rsidR="008079E5">
        <w:t xml:space="preserve"> </w:t>
      </w:r>
    </w:p>
    <w:p w:rsidR="009A6DAB" w:rsidRDefault="009A6DAB" w:rsidP="000A3E5B">
      <w:r>
        <w:t xml:space="preserve">**The transition period is based on finalization of automation from process partners. </w:t>
      </w:r>
    </w:p>
    <w:p w:rsidR="000A3E5B" w:rsidRDefault="003E4530" w:rsidP="000A3E5B">
      <w:pPr>
        <w:rPr>
          <w:b/>
        </w:rPr>
      </w:pPr>
      <w:r>
        <w:rPr>
          <w:b/>
        </w:rPr>
        <w:t>From June 15</w:t>
      </w:r>
      <w:r w:rsidR="000A3E5B" w:rsidRPr="000A3E5B">
        <w:rPr>
          <w:b/>
          <w:vertAlign w:val="superscript"/>
        </w:rPr>
        <w:t>th</w:t>
      </w:r>
      <w:r w:rsidR="000A3E5B">
        <w:rPr>
          <w:b/>
        </w:rPr>
        <w:t xml:space="preserve"> to future: </w:t>
      </w:r>
    </w:p>
    <w:p w:rsidR="002D2612" w:rsidRDefault="007B1E24" w:rsidP="000A3E5B">
      <w:r>
        <w:t>W</w:t>
      </w:r>
      <w:r w:rsidR="000A3E5B">
        <w:t>ire f</w:t>
      </w:r>
      <w:r>
        <w:t>ee will be charged based on a percentage relative to amount to each budg</w:t>
      </w:r>
      <w:bookmarkStart w:id="5" w:name="_GoBack"/>
      <w:bookmarkEnd w:id="5"/>
      <w:r>
        <w:t xml:space="preserve">et. </w:t>
      </w:r>
    </w:p>
    <w:p w:rsidR="00514A5D" w:rsidRDefault="009A45FC" w:rsidP="000A3E5B">
      <w:r>
        <w:t xml:space="preserve">For example </w:t>
      </w:r>
      <w:r w:rsidR="002D2612">
        <w:t xml:space="preserve">budget A is charged $100 and budget B is charged $50.  The wire fee will be allocated proportionally relative to the total expenses on the expense report.  </w:t>
      </w:r>
    </w:p>
    <w:p w:rsidR="002D2612" w:rsidRDefault="002D2612" w:rsidP="000A3E5B">
      <w:r>
        <w:t xml:space="preserve">For a $15 wire fee, using the example above, </w:t>
      </w:r>
      <w:r w:rsidR="00CB0ADC">
        <w:t>$10 would be charged to budget A and $5 would be charged to budget B.</w:t>
      </w:r>
    </w:p>
    <w:tbl>
      <w:tblPr>
        <w:tblStyle w:val="TableGrid"/>
        <w:tblW w:w="0" w:type="auto"/>
        <w:tblLook w:val="04A0" w:firstRow="1" w:lastRow="0" w:firstColumn="1" w:lastColumn="0" w:noHBand="0" w:noVBand="1"/>
      </w:tblPr>
      <w:tblGrid>
        <w:gridCol w:w="2379"/>
        <w:gridCol w:w="2168"/>
        <w:gridCol w:w="2492"/>
        <w:gridCol w:w="2311"/>
      </w:tblGrid>
      <w:tr w:rsidR="00C56A66" w:rsidTr="00C56A66">
        <w:tc>
          <w:tcPr>
            <w:tcW w:w="2379" w:type="dxa"/>
          </w:tcPr>
          <w:p w:rsidR="00C56A66" w:rsidRPr="00C56A66" w:rsidRDefault="00C56A66" w:rsidP="00C56A66">
            <w:pPr>
              <w:jc w:val="center"/>
              <w:rPr>
                <w:b/>
              </w:rPr>
            </w:pPr>
            <w:r w:rsidRPr="00C56A66">
              <w:rPr>
                <w:b/>
              </w:rPr>
              <w:t>Budget</w:t>
            </w:r>
          </w:p>
        </w:tc>
        <w:tc>
          <w:tcPr>
            <w:tcW w:w="2168" w:type="dxa"/>
          </w:tcPr>
          <w:p w:rsidR="00C56A66" w:rsidRPr="00C56A66" w:rsidRDefault="00C56A66" w:rsidP="00C56A66">
            <w:pPr>
              <w:jc w:val="center"/>
              <w:rPr>
                <w:b/>
              </w:rPr>
            </w:pPr>
            <w:r>
              <w:rPr>
                <w:b/>
              </w:rPr>
              <w:t>Expense</w:t>
            </w:r>
          </w:p>
        </w:tc>
        <w:tc>
          <w:tcPr>
            <w:tcW w:w="2492" w:type="dxa"/>
          </w:tcPr>
          <w:p w:rsidR="00C56A66" w:rsidRPr="00C56A66" w:rsidRDefault="00C56A66" w:rsidP="00C56A66">
            <w:pPr>
              <w:jc w:val="center"/>
              <w:rPr>
                <w:b/>
              </w:rPr>
            </w:pPr>
            <w:r w:rsidRPr="00C56A66">
              <w:rPr>
                <w:b/>
              </w:rPr>
              <w:t>Proportion</w:t>
            </w:r>
            <w:r>
              <w:rPr>
                <w:b/>
              </w:rPr>
              <w:t xml:space="preserve"> of Total</w:t>
            </w:r>
          </w:p>
        </w:tc>
        <w:tc>
          <w:tcPr>
            <w:tcW w:w="2311" w:type="dxa"/>
          </w:tcPr>
          <w:p w:rsidR="00C56A66" w:rsidRPr="00C56A66" w:rsidRDefault="00C56A66" w:rsidP="00C56A66">
            <w:pPr>
              <w:jc w:val="center"/>
              <w:rPr>
                <w:b/>
              </w:rPr>
            </w:pPr>
            <w:r>
              <w:rPr>
                <w:b/>
              </w:rPr>
              <w:t>Wire Fee</w:t>
            </w:r>
          </w:p>
        </w:tc>
      </w:tr>
      <w:tr w:rsidR="00C56A66" w:rsidTr="00C56A66">
        <w:tc>
          <w:tcPr>
            <w:tcW w:w="2379" w:type="dxa"/>
          </w:tcPr>
          <w:p w:rsidR="00C56A66" w:rsidRDefault="00C56A66" w:rsidP="00C56A66">
            <w:pPr>
              <w:jc w:val="center"/>
            </w:pPr>
            <w:r>
              <w:t>A</w:t>
            </w:r>
          </w:p>
        </w:tc>
        <w:tc>
          <w:tcPr>
            <w:tcW w:w="2168" w:type="dxa"/>
          </w:tcPr>
          <w:p w:rsidR="00C56A66" w:rsidRDefault="00C56A66" w:rsidP="00C56A66">
            <w:pPr>
              <w:jc w:val="center"/>
            </w:pPr>
            <w:r>
              <w:t>$100.00</w:t>
            </w:r>
          </w:p>
        </w:tc>
        <w:tc>
          <w:tcPr>
            <w:tcW w:w="2492" w:type="dxa"/>
          </w:tcPr>
          <w:p w:rsidR="00C56A66" w:rsidRDefault="00C56A66" w:rsidP="00C56A66">
            <w:pPr>
              <w:jc w:val="center"/>
            </w:pPr>
            <w:r>
              <w:t>66.66%</w:t>
            </w:r>
          </w:p>
        </w:tc>
        <w:tc>
          <w:tcPr>
            <w:tcW w:w="2311" w:type="dxa"/>
          </w:tcPr>
          <w:p w:rsidR="00C56A66" w:rsidRDefault="00C56A66" w:rsidP="00C56A66">
            <w:pPr>
              <w:jc w:val="center"/>
            </w:pPr>
            <w:r>
              <w:t>$10.00</w:t>
            </w:r>
          </w:p>
        </w:tc>
      </w:tr>
      <w:tr w:rsidR="00C56A66" w:rsidTr="00C56A66">
        <w:tc>
          <w:tcPr>
            <w:tcW w:w="2379" w:type="dxa"/>
          </w:tcPr>
          <w:p w:rsidR="00C56A66" w:rsidRDefault="00C56A66" w:rsidP="00C56A66">
            <w:pPr>
              <w:jc w:val="center"/>
            </w:pPr>
            <w:r>
              <w:t>B</w:t>
            </w:r>
          </w:p>
        </w:tc>
        <w:tc>
          <w:tcPr>
            <w:tcW w:w="2168" w:type="dxa"/>
          </w:tcPr>
          <w:p w:rsidR="00C56A66" w:rsidRDefault="00C56A66" w:rsidP="00C56A66">
            <w:pPr>
              <w:jc w:val="center"/>
            </w:pPr>
            <w:r>
              <w:t>$50.00</w:t>
            </w:r>
          </w:p>
        </w:tc>
        <w:tc>
          <w:tcPr>
            <w:tcW w:w="2492" w:type="dxa"/>
          </w:tcPr>
          <w:p w:rsidR="00C56A66" w:rsidRDefault="00C56A66" w:rsidP="00C56A66">
            <w:pPr>
              <w:jc w:val="center"/>
            </w:pPr>
            <w:r>
              <w:t>33.33%</w:t>
            </w:r>
          </w:p>
        </w:tc>
        <w:tc>
          <w:tcPr>
            <w:tcW w:w="2311" w:type="dxa"/>
          </w:tcPr>
          <w:p w:rsidR="00C56A66" w:rsidRDefault="00C56A66" w:rsidP="00C56A66">
            <w:pPr>
              <w:jc w:val="center"/>
            </w:pPr>
            <w:r>
              <w:t>$5.00</w:t>
            </w:r>
          </w:p>
        </w:tc>
      </w:tr>
      <w:tr w:rsidR="00C56A66" w:rsidTr="00C56A66">
        <w:tc>
          <w:tcPr>
            <w:tcW w:w="2379" w:type="dxa"/>
          </w:tcPr>
          <w:p w:rsidR="00C56A66" w:rsidRDefault="009A6DAB" w:rsidP="009A6DAB">
            <w:pPr>
              <w:tabs>
                <w:tab w:val="center" w:pos="1081"/>
              </w:tabs>
            </w:pPr>
            <w:r>
              <w:tab/>
            </w:r>
            <w:r w:rsidR="00C56A66">
              <w:t>Total</w:t>
            </w:r>
          </w:p>
        </w:tc>
        <w:tc>
          <w:tcPr>
            <w:tcW w:w="2168" w:type="dxa"/>
          </w:tcPr>
          <w:p w:rsidR="00C56A66" w:rsidRDefault="00C56A66" w:rsidP="00C56A66">
            <w:pPr>
              <w:jc w:val="center"/>
            </w:pPr>
            <w:r>
              <w:t>$150.00</w:t>
            </w:r>
          </w:p>
        </w:tc>
        <w:tc>
          <w:tcPr>
            <w:tcW w:w="2492" w:type="dxa"/>
          </w:tcPr>
          <w:p w:rsidR="00C56A66" w:rsidRDefault="00C56A66" w:rsidP="00C56A66">
            <w:pPr>
              <w:jc w:val="center"/>
            </w:pPr>
            <w:r>
              <w:t>100%</w:t>
            </w:r>
          </w:p>
        </w:tc>
        <w:tc>
          <w:tcPr>
            <w:tcW w:w="2311" w:type="dxa"/>
          </w:tcPr>
          <w:p w:rsidR="00C56A66" w:rsidRDefault="00C56A66" w:rsidP="00C56A66">
            <w:pPr>
              <w:jc w:val="center"/>
            </w:pPr>
            <w:r>
              <w:t>$15.00</w:t>
            </w:r>
          </w:p>
        </w:tc>
      </w:tr>
    </w:tbl>
    <w:p w:rsidR="008079E5" w:rsidRPr="000E5482" w:rsidRDefault="008079E5" w:rsidP="005C580F">
      <w:pPr>
        <w:tabs>
          <w:tab w:val="left" w:pos="4020"/>
        </w:tabs>
      </w:pPr>
    </w:p>
    <w:sectPr w:rsidR="008079E5" w:rsidRPr="000E548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AA" w:rsidRDefault="005002AA" w:rsidP="00DE08B6">
      <w:pPr>
        <w:spacing w:after="0" w:line="240" w:lineRule="auto"/>
      </w:pPr>
      <w:r>
        <w:separator/>
      </w:r>
    </w:p>
  </w:endnote>
  <w:endnote w:type="continuationSeparator" w:id="0">
    <w:p w:rsidR="005002AA" w:rsidRDefault="005002AA" w:rsidP="00DE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code Sans Normal">
    <w:altName w:val="Times New Roman"/>
    <w:panose1 w:val="02000000000000000000"/>
    <w:charset w:val="00"/>
    <w:family w:val="auto"/>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413074"/>
      <w:docPartObj>
        <w:docPartGallery w:val="Page Numbers (Bottom of Page)"/>
        <w:docPartUnique/>
      </w:docPartObj>
    </w:sdtPr>
    <w:sdtEndPr>
      <w:rPr>
        <w:noProof/>
      </w:rPr>
    </w:sdtEndPr>
    <w:sdtContent>
      <w:p w:rsidR="009A6DAB" w:rsidRDefault="009A6DAB" w:rsidP="009A6DAB">
        <w:pPr>
          <w:pStyle w:val="Footer"/>
          <w:jc w:val="right"/>
        </w:pPr>
        <w:r>
          <w:t xml:space="preserve">Page | </w:t>
        </w:r>
        <w:r>
          <w:fldChar w:fldCharType="begin"/>
        </w:r>
        <w:r>
          <w:instrText xml:space="preserve"> PAGE   \* MERGEFORMAT </w:instrText>
        </w:r>
        <w:r>
          <w:fldChar w:fldCharType="separate"/>
        </w:r>
        <w:r w:rsidR="003E4530">
          <w:rPr>
            <w:noProof/>
          </w:rPr>
          <w:t>5</w:t>
        </w:r>
        <w:r>
          <w:rPr>
            <w:noProof/>
          </w:rPr>
          <w:fldChar w:fldCharType="end"/>
        </w:r>
      </w:p>
    </w:sdtContent>
  </w:sdt>
  <w:p w:rsidR="009A6DAB" w:rsidRDefault="009A6DAB" w:rsidP="009A6DA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AA" w:rsidRDefault="005002AA" w:rsidP="00DE08B6">
      <w:pPr>
        <w:spacing w:after="0" w:line="240" w:lineRule="auto"/>
      </w:pPr>
      <w:r>
        <w:separator/>
      </w:r>
    </w:p>
  </w:footnote>
  <w:footnote w:type="continuationSeparator" w:id="0">
    <w:p w:rsidR="005002AA" w:rsidRDefault="005002AA" w:rsidP="00DE0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8B6" w:rsidRPr="00144251" w:rsidRDefault="00DE08B6" w:rsidP="00DE08B6">
    <w:pPr>
      <w:pStyle w:val="Footer"/>
      <w:jc w:val="center"/>
      <w:rPr>
        <w:rFonts w:ascii="Encode Sans Normal" w:hAnsi="Encode Sans Normal"/>
      </w:rPr>
    </w:pPr>
    <w:r w:rsidRPr="11B8B19A">
      <w:rPr>
        <w:rFonts w:ascii="Encode Sans Normal" w:hAnsi="Encode Sans Normal"/>
        <w:b/>
        <w:bCs/>
      </w:rPr>
      <w:t>University of Washington Travel Office</w:t>
    </w:r>
  </w:p>
  <w:p w:rsidR="00DE08B6" w:rsidRDefault="00DE08B6" w:rsidP="00DE08B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97"/>
    <w:rsid w:val="000A3E5B"/>
    <w:rsid w:val="000A4C8A"/>
    <w:rsid w:val="000E5482"/>
    <w:rsid w:val="002D2612"/>
    <w:rsid w:val="003A7990"/>
    <w:rsid w:val="003E4530"/>
    <w:rsid w:val="005002AA"/>
    <w:rsid w:val="00514A5D"/>
    <w:rsid w:val="005C580F"/>
    <w:rsid w:val="007B1E24"/>
    <w:rsid w:val="008079E5"/>
    <w:rsid w:val="0085781D"/>
    <w:rsid w:val="008F3064"/>
    <w:rsid w:val="009A45FC"/>
    <w:rsid w:val="009A6DAB"/>
    <w:rsid w:val="009A7544"/>
    <w:rsid w:val="00AB1E25"/>
    <w:rsid w:val="00B26497"/>
    <w:rsid w:val="00B963CC"/>
    <w:rsid w:val="00C56A66"/>
    <w:rsid w:val="00CB0ADC"/>
    <w:rsid w:val="00DE08B6"/>
    <w:rsid w:val="00E04F05"/>
    <w:rsid w:val="00ED3970"/>
    <w:rsid w:val="00F239F6"/>
    <w:rsid w:val="00FF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49DC"/>
  <w15:chartTrackingRefBased/>
  <w15:docId w15:val="{6174D4A7-59D0-4972-8DB8-DA100103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8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497"/>
    <w:rPr>
      <w:color w:val="0563C1" w:themeColor="hyperlink"/>
      <w:u w:val="single"/>
    </w:rPr>
  </w:style>
  <w:style w:type="character" w:customStyle="1" w:styleId="Heading2Char">
    <w:name w:val="Heading 2 Char"/>
    <w:basedOn w:val="DefaultParagraphFont"/>
    <w:link w:val="Heading2"/>
    <w:uiPriority w:val="9"/>
    <w:rsid w:val="00DE08B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E08B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E08B6"/>
    <w:pPr>
      <w:outlineLvl w:val="9"/>
    </w:pPr>
  </w:style>
  <w:style w:type="paragraph" w:styleId="Header">
    <w:name w:val="header"/>
    <w:basedOn w:val="Normal"/>
    <w:link w:val="HeaderChar"/>
    <w:uiPriority w:val="99"/>
    <w:unhideWhenUsed/>
    <w:rsid w:val="00DE0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8B6"/>
  </w:style>
  <w:style w:type="paragraph" w:styleId="Footer">
    <w:name w:val="footer"/>
    <w:basedOn w:val="Normal"/>
    <w:link w:val="FooterChar"/>
    <w:uiPriority w:val="99"/>
    <w:unhideWhenUsed/>
    <w:rsid w:val="00DE0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8B6"/>
  </w:style>
  <w:style w:type="paragraph" w:styleId="TOC1">
    <w:name w:val="toc 1"/>
    <w:basedOn w:val="Normal"/>
    <w:next w:val="Normal"/>
    <w:autoRedefine/>
    <w:uiPriority w:val="39"/>
    <w:unhideWhenUsed/>
    <w:rsid w:val="008079E5"/>
    <w:pPr>
      <w:spacing w:after="100"/>
    </w:pPr>
  </w:style>
  <w:style w:type="paragraph" w:styleId="NoSpacing">
    <w:name w:val="No Spacing"/>
    <w:uiPriority w:val="1"/>
    <w:qFormat/>
    <w:rsid w:val="00B963CC"/>
    <w:pPr>
      <w:spacing w:after="0" w:line="240" w:lineRule="auto"/>
    </w:pPr>
  </w:style>
  <w:style w:type="table" w:styleId="TableGrid">
    <w:name w:val="Table Grid"/>
    <w:basedOn w:val="TableNormal"/>
    <w:uiPriority w:val="39"/>
    <w:rsid w:val="00C5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veluw@uw.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24C8-27ED-4D2B-9BA2-02A1FA9D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 McGarey</dc:creator>
  <cp:keywords/>
  <dc:description/>
  <cp:lastModifiedBy>Kele McGarey</cp:lastModifiedBy>
  <cp:revision>2</cp:revision>
  <dcterms:created xsi:type="dcterms:W3CDTF">2018-05-04T17:19:00Z</dcterms:created>
  <dcterms:modified xsi:type="dcterms:W3CDTF">2018-05-04T17:19:00Z</dcterms:modified>
</cp:coreProperties>
</file>